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line="320" w:lineRule="exact"/>
        <w:jc w:val="lef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12"/>
          <w:szCs w:val="1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pStyle w:val="2"/>
        <w:ind w:left="0" w:leftChars="0"/>
        <w:rPr>
          <w:rFonts w:hint="eastAsia"/>
        </w:rPr>
      </w:pPr>
    </w:p>
    <w:p>
      <w:pPr>
        <w:spacing w:before="200" w:line="440" w:lineRule="exact"/>
        <w:ind w:left="800"/>
        <w:jc w:val="lef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药品和医疗器械安全突发事件分级标准 </w:t>
      </w:r>
    </w:p>
    <w:p>
      <w:pPr>
        <w:spacing w:before="200" w:line="440" w:lineRule="exact"/>
        <w:jc w:val="left"/>
        <w:rPr>
          <w:rFonts w:ascii="方正小标宋简体" w:eastAsia="方正小标宋简体"/>
          <w:sz w:val="24"/>
        </w:rPr>
      </w:pPr>
    </w:p>
    <w:tbl>
      <w:tblPr>
        <w:tblStyle w:val="5"/>
        <w:tblpPr w:vertAnchor="text" w:tblpX="21" w:tblpY="1"/>
        <w:tblW w:w="90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29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line="2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事件分级</w:t>
            </w:r>
          </w:p>
        </w:tc>
        <w:tc>
          <w:tcPr>
            <w:tcW w:w="7714" w:type="dxa"/>
            <w:noWrap/>
            <w:vAlign w:val="center"/>
          </w:tcPr>
          <w:p>
            <w:pPr>
              <w:spacing w:before="100" w:line="2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评估指标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exact"/>
        </w:trPr>
        <w:tc>
          <w:tcPr>
            <w:tcW w:w="129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特别重大药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品安全突发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color w:val="000000"/>
                <w:sz w:val="24"/>
              </w:rPr>
              <w:t>事件（Ⅰ级）</w:t>
            </w:r>
          </w:p>
        </w:tc>
        <w:tc>
          <w:tcPr>
            <w:tcW w:w="7714" w:type="dxa"/>
            <w:noWrap/>
            <w:vAlign w:val="top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）在相对集中的时间和（或）区域内，批号相对集中的同一药品（指同一生产企业生产的同一药品名、同一剂型、同一规格的药品，下同）引起临床表现相似的，且罕见的或非预期的不良事件的人数50人以上；或者引起特别严重不良事件（可能对人体造成永久性伤残、对器官功能造成永久性损伤或危及生命的，下同）的人数10人以上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（2）同一批号药品短期内引起3例以上患者死亡。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（3）短期内2个以上省（自治区、直辖市）因同一药品发生Ⅱ级药品安全突发事件。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（4）其他危害特别严重的药品安全突发事件。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exact"/>
        </w:trPr>
        <w:tc>
          <w:tcPr>
            <w:tcW w:w="129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重大药品安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全突发事件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color w:val="000000"/>
                <w:sz w:val="24"/>
              </w:rPr>
              <w:t>（Ⅱ级）</w:t>
            </w:r>
          </w:p>
        </w:tc>
        <w:tc>
          <w:tcPr>
            <w:tcW w:w="7714" w:type="dxa"/>
            <w:noWrap/>
            <w:vAlign w:val="top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（1）在相对集中的时间和（或）区域内，批号相对集中的同一药品引起临床表现相似的，且罕见的或非预期的不良事件的人数30人以上不满50人或者引起特别严重不良事件的人数5人以上不满10人。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（2）同一批号药品短期内引起 1 至2 例患者死亡，且在同一区域内同时出现其他类似病例。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（3）短期内，全区内2个以上设区市因同一药品发生Ⅲ级药品安全突发事件。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（4）其他危害严重的药品安全突发事件。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exact"/>
        </w:trPr>
        <w:tc>
          <w:tcPr>
            <w:tcW w:w="129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较大药品安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全突发事件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color w:val="000000"/>
                <w:sz w:val="24"/>
              </w:rPr>
              <w:t>（Ⅲ级）</w:t>
            </w:r>
          </w:p>
        </w:tc>
        <w:tc>
          <w:tcPr>
            <w:tcW w:w="7714" w:type="dxa"/>
            <w:noWrap/>
            <w:vAlign w:val="top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（1）在相对集中的时间和（或）区域内，批号相对集中的同一药品引起临床表现相似的，且罕见的或非预期的不良事件的人数20人以上不满30 人或者引起特别严重不良事件的人数3人以上不满5人。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（2）短期内，全市有2个以上县（区）因同一药品发生Ⅳ级药品安全突发事件。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（3）其他危害较大的药品安全突发事件。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exact"/>
        </w:trPr>
        <w:tc>
          <w:tcPr>
            <w:tcW w:w="129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一般药品安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全突发事件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color w:val="000000"/>
                <w:sz w:val="24"/>
              </w:rPr>
              <w:t>（Ⅳ级）</w:t>
            </w:r>
          </w:p>
        </w:tc>
        <w:tc>
          <w:tcPr>
            <w:tcW w:w="7714" w:type="dxa"/>
            <w:noWrap/>
            <w:vAlign w:val="top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（1）在相对集中的时间和（或）区域内，批号相对集中的同一药品引起临床表现相似的，且罕见的或非预期的不良事件的人数 10 人以上不满 20 人或者引起特别严重不良事件，涉及人数不超过 2 人（含）。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（2）其他一般药品安全突发事件。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0" w:h="16840"/>
          <w:pgMar w:top="1984" w:right="1531" w:bottom="1417" w:left="1531" w:header="720" w:footer="158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2024-06-26T00:49:04Z</dcterms:created>
  <dc:creator>Administrator</dc:creator>
  <cp:lastModifiedBy>Administrator</cp:lastModifiedBy>
  <dcterms:modified xsi:type="dcterms:W3CDTF">2024-06-26T00:49:35Z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3BDD15299C7E44DA93E1B3EE3D68955F</vt:lpwstr>
  </property>
</Properties>
</file>