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66F9">
      <w:pPr>
        <w:keepNext w:val="0"/>
        <w:pageBreakBefore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附件4</w:t>
      </w:r>
    </w:p>
    <w:p w14:paraId="549FCD46">
      <w:pPr>
        <w:keepNext w:val="0"/>
        <w:pageBreakBefore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Cs/>
          <w:sz w:val="40"/>
          <w:szCs w:val="40"/>
        </w:rPr>
      </w:pPr>
      <w:bookmarkStart w:id="0" w:name="_GoBack"/>
      <w:r>
        <w:rPr>
          <w:rFonts w:hint="eastAsia" w:ascii="方正小标宋简体" w:hAnsi="方正小标宋简体" w:eastAsia="方正小标宋简体" w:cs="方正小标宋简体"/>
          <w:sz w:val="40"/>
          <w:szCs w:val="40"/>
        </w:rPr>
        <w:t>南宁市水路运输行业随机抽查事项</w:t>
      </w:r>
      <w:r>
        <w:rPr>
          <w:rFonts w:hint="eastAsia" w:ascii="方正小标宋简体" w:hAnsi="方正小标宋简体" w:eastAsia="方正小标宋简体" w:cs="方正小标宋简体"/>
          <w:bCs/>
          <w:sz w:val="40"/>
          <w:szCs w:val="40"/>
        </w:rPr>
        <w:t>汇总表</w:t>
      </w:r>
    </w:p>
    <w:bookmarkEnd w:id="0"/>
    <w:p w14:paraId="35A69BAF">
      <w:pPr>
        <w:keepNext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（对水路运输市场监督检查）</w:t>
      </w:r>
    </w:p>
    <w:p w14:paraId="5D80ABCA">
      <w:pPr>
        <w:keepNext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抽查单位：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抽查时间：</w:t>
      </w:r>
    </w:p>
    <w:tbl>
      <w:tblPr>
        <w:tblStyle w:val="6"/>
        <w:tblpPr w:leftFromText="180" w:rightFromText="180" w:vertAnchor="text" w:horzAnchor="margin" w:tblpXSpec="center" w:tblpY="199"/>
        <w:tblW w:w="14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66"/>
        <w:gridCol w:w="2268"/>
        <w:gridCol w:w="2975"/>
        <w:gridCol w:w="2616"/>
      </w:tblGrid>
      <w:tr w14:paraId="2605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14:paraId="613AA2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仿宋" w:hAnsi="仿宋" w:eastAsia="仿宋"/>
                <w:sz w:val="28"/>
                <w:szCs w:val="28"/>
              </w:rPr>
            </w:pPr>
            <w:r>
              <w:rPr>
                <w:rFonts w:hint="eastAsia" w:ascii="黑体" w:hAnsi="黑体" w:eastAsia="黑体" w:cs="黑体"/>
                <w:sz w:val="28"/>
                <w:szCs w:val="28"/>
              </w:rPr>
              <w:t>序号</w:t>
            </w:r>
          </w:p>
        </w:tc>
        <w:tc>
          <w:tcPr>
            <w:tcW w:w="5666" w:type="dxa"/>
            <w:vAlign w:val="center"/>
          </w:tcPr>
          <w:p w14:paraId="645B6B8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28"/>
                <w:szCs w:val="28"/>
              </w:rPr>
            </w:pPr>
            <w:r>
              <w:rPr>
                <w:rFonts w:hint="eastAsia" w:ascii="黑体" w:hAnsi="黑体" w:eastAsia="黑体"/>
                <w:sz w:val="28"/>
                <w:szCs w:val="28"/>
              </w:rPr>
              <w:t>抽查内容</w:t>
            </w:r>
          </w:p>
        </w:tc>
        <w:tc>
          <w:tcPr>
            <w:tcW w:w="2268" w:type="dxa"/>
            <w:vAlign w:val="center"/>
          </w:tcPr>
          <w:p w14:paraId="2D2FE24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28"/>
                <w:szCs w:val="28"/>
              </w:rPr>
            </w:pPr>
            <w:r>
              <w:rPr>
                <w:rFonts w:hint="eastAsia" w:ascii="黑体" w:hAnsi="黑体" w:eastAsia="黑体"/>
                <w:sz w:val="28"/>
                <w:szCs w:val="28"/>
              </w:rPr>
              <w:t>企业自查自纠</w:t>
            </w:r>
            <w:r>
              <w:rPr>
                <w:rFonts w:hint="eastAsia" w:ascii="仿宋" w:hAnsi="仿宋" w:eastAsia="仿宋"/>
                <w:sz w:val="24"/>
                <w:szCs w:val="24"/>
              </w:rPr>
              <w:t>（完成的打“√”，未完成的打“×”）</w:t>
            </w:r>
          </w:p>
        </w:tc>
        <w:tc>
          <w:tcPr>
            <w:tcW w:w="2975" w:type="dxa"/>
            <w:vAlign w:val="center"/>
          </w:tcPr>
          <w:p w14:paraId="420E736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sz w:val="28"/>
                <w:szCs w:val="28"/>
              </w:rPr>
            </w:pPr>
            <w:r>
              <w:rPr>
                <w:rFonts w:hint="eastAsia" w:ascii="黑体" w:hAnsi="黑体" w:eastAsia="黑体"/>
                <w:sz w:val="28"/>
                <w:szCs w:val="28"/>
              </w:rPr>
              <w:t>抽查结果</w:t>
            </w:r>
          </w:p>
          <w:p w14:paraId="477ECD1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仿宋" w:hAnsi="仿宋" w:eastAsia="仿宋"/>
                <w:sz w:val="24"/>
                <w:szCs w:val="24"/>
              </w:rPr>
            </w:pPr>
            <w:r>
              <w:rPr>
                <w:rFonts w:hint="eastAsia" w:ascii="仿宋" w:hAnsi="仿宋" w:eastAsia="仿宋"/>
                <w:sz w:val="24"/>
                <w:szCs w:val="24"/>
              </w:rPr>
              <w:t>（完成的打“√”，未完成的打“×”）</w:t>
            </w:r>
          </w:p>
        </w:tc>
        <w:tc>
          <w:tcPr>
            <w:tcW w:w="2616" w:type="dxa"/>
            <w:vAlign w:val="center"/>
          </w:tcPr>
          <w:p w14:paraId="02BEF46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28"/>
                <w:szCs w:val="28"/>
              </w:rPr>
            </w:pPr>
            <w:r>
              <w:rPr>
                <w:rFonts w:hint="eastAsia" w:ascii="黑体" w:hAnsi="黑体" w:eastAsia="黑体"/>
                <w:sz w:val="28"/>
                <w:szCs w:val="28"/>
              </w:rPr>
              <w:t>存在问题</w:t>
            </w:r>
          </w:p>
        </w:tc>
      </w:tr>
      <w:tr w14:paraId="7F95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trPr>
        <w:tc>
          <w:tcPr>
            <w:tcW w:w="851" w:type="dxa"/>
            <w:vAlign w:val="center"/>
          </w:tcPr>
          <w:p w14:paraId="1E4FC498">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仿宋" w:hAnsi="仿宋" w:eastAsia="仿宋"/>
                <w:sz w:val="18"/>
                <w:szCs w:val="18"/>
              </w:rPr>
            </w:pPr>
            <w:r>
              <w:rPr>
                <w:rFonts w:hint="eastAsia" w:ascii="仿宋" w:hAnsi="仿宋" w:eastAsia="仿宋"/>
                <w:sz w:val="18"/>
                <w:szCs w:val="18"/>
              </w:rPr>
              <w:t>1</w:t>
            </w:r>
          </w:p>
        </w:tc>
        <w:tc>
          <w:tcPr>
            <w:tcW w:w="5666" w:type="dxa"/>
            <w:vAlign w:val="center"/>
          </w:tcPr>
          <w:p w14:paraId="550AF355">
            <w:pPr>
              <w:keepLines/>
              <w:numPr>
                <w:ilvl w:val="0"/>
                <w:numId w:val="1"/>
              </w:numPr>
              <w:spacing w:line="30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水路运输企业是否符合下列要求：</w:t>
            </w:r>
          </w:p>
          <w:p w14:paraId="1A833312">
            <w:pPr>
              <w:keepLines/>
              <w:numPr>
                <w:ilvl w:val="0"/>
                <w:numId w:val="2"/>
              </w:numPr>
              <w:spacing w:line="30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具备企业法人条件；</w:t>
            </w:r>
          </w:p>
          <w:p w14:paraId="4EDC9C3D">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有符合规定的船舶，并且自有船舶运力符合国务院交通运输主管部门的规定；</w:t>
            </w:r>
          </w:p>
          <w:p w14:paraId="22F5FE2A">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有明确的经营范围，其中申请经营水路旅客班轮运输业务的，还应当有可行的航线营运计划；</w:t>
            </w:r>
          </w:p>
          <w:p w14:paraId="1452E933">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有与其申请的经营范围和船舶运力相适应的海务、机务管理人员；</w:t>
            </w:r>
          </w:p>
          <w:p w14:paraId="234220F7">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与其直接订立劳动合同的高级船员占全部船员的比例符合国务院交通运输主管部门的规定；</w:t>
            </w:r>
          </w:p>
          <w:p w14:paraId="659C929B">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履行安全生产主体责任以及</w:t>
            </w:r>
            <w:r>
              <w:rPr>
                <w:rFonts w:hint="eastAsia" w:ascii="仿宋_GB2312" w:hAnsi="仿宋_GB2312" w:eastAsia="仿宋_GB2312" w:cs="仿宋_GB2312"/>
                <w:sz w:val="18"/>
                <w:szCs w:val="18"/>
              </w:rPr>
              <w:t>有健全的安全管理制度；</w:t>
            </w:r>
          </w:p>
          <w:p w14:paraId="3F64F758">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法律、行政法规规定的其他条件；</w:t>
            </w:r>
          </w:p>
          <w:p w14:paraId="566DDFEF">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是否超越许可的经营范围从事经营活动；</w:t>
            </w:r>
          </w:p>
          <w:p w14:paraId="621D4A35">
            <w:pPr>
              <w:keepLines/>
              <w:numPr>
                <w:ilvl w:val="0"/>
                <w:numId w:val="2"/>
              </w:numPr>
              <w:spacing w:line="300" w:lineRule="exact"/>
              <w:ind w:left="0" w:leftChars="0" w:firstLine="0" w:firstLine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是否有违反相关法律法规经营的行为。</w:t>
            </w:r>
          </w:p>
          <w:p w14:paraId="39D6F6BF">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ascii="黑体" w:hAnsi="黑体" w:eastAsia="黑体"/>
                <w:sz w:val="18"/>
                <w:szCs w:val="18"/>
              </w:rPr>
            </w:pPr>
          </w:p>
        </w:tc>
        <w:tc>
          <w:tcPr>
            <w:tcW w:w="2268" w:type="dxa"/>
            <w:vAlign w:val="top"/>
          </w:tcPr>
          <w:p w14:paraId="755A6E88">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975" w:type="dxa"/>
            <w:vAlign w:val="top"/>
          </w:tcPr>
          <w:p w14:paraId="3AB3036C">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616" w:type="dxa"/>
            <w:vAlign w:val="top"/>
          </w:tcPr>
          <w:p w14:paraId="24EC2D0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36"/>
                <w:szCs w:val="36"/>
              </w:rPr>
            </w:pPr>
          </w:p>
        </w:tc>
      </w:tr>
      <w:tr w14:paraId="0CCF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59B3A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18"/>
                <w:szCs w:val="18"/>
              </w:rPr>
            </w:pPr>
            <w:r>
              <w:rPr>
                <w:rFonts w:hint="eastAsia" w:ascii="黑体" w:hAnsi="黑体" w:eastAsia="黑体" w:cs="黑体"/>
                <w:sz w:val="28"/>
                <w:szCs w:val="28"/>
              </w:rPr>
              <w:t>序号</w:t>
            </w:r>
          </w:p>
        </w:tc>
        <w:tc>
          <w:tcPr>
            <w:tcW w:w="5666" w:type="dxa"/>
            <w:vAlign w:val="center"/>
          </w:tcPr>
          <w:p w14:paraId="5DAF055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18"/>
                <w:szCs w:val="18"/>
              </w:rPr>
            </w:pPr>
            <w:r>
              <w:rPr>
                <w:rFonts w:hint="eastAsia" w:ascii="黑体" w:hAnsi="黑体" w:eastAsia="黑体"/>
                <w:sz w:val="28"/>
                <w:szCs w:val="28"/>
              </w:rPr>
              <w:t>抽查内容</w:t>
            </w:r>
          </w:p>
        </w:tc>
        <w:tc>
          <w:tcPr>
            <w:tcW w:w="2268" w:type="dxa"/>
            <w:vAlign w:val="center"/>
          </w:tcPr>
          <w:p w14:paraId="1AFCAF9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18"/>
                <w:szCs w:val="18"/>
              </w:rPr>
            </w:pPr>
            <w:r>
              <w:rPr>
                <w:rFonts w:hint="eastAsia" w:ascii="黑体" w:hAnsi="黑体" w:eastAsia="黑体"/>
                <w:sz w:val="28"/>
                <w:szCs w:val="28"/>
              </w:rPr>
              <w:t>企业自查自纠</w:t>
            </w:r>
            <w:r>
              <w:rPr>
                <w:rFonts w:hint="eastAsia" w:ascii="仿宋" w:hAnsi="仿宋" w:eastAsia="仿宋"/>
                <w:sz w:val="24"/>
                <w:szCs w:val="24"/>
              </w:rPr>
              <w:t>（完成的打“√”，未完成的打“×”）</w:t>
            </w:r>
          </w:p>
        </w:tc>
        <w:tc>
          <w:tcPr>
            <w:tcW w:w="2975" w:type="dxa"/>
            <w:vAlign w:val="center"/>
          </w:tcPr>
          <w:p w14:paraId="51F3711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sz w:val="28"/>
                <w:szCs w:val="28"/>
              </w:rPr>
            </w:pPr>
            <w:r>
              <w:rPr>
                <w:rFonts w:hint="eastAsia" w:ascii="黑体" w:hAnsi="黑体" w:eastAsia="黑体"/>
                <w:sz w:val="28"/>
                <w:szCs w:val="28"/>
              </w:rPr>
              <w:t>抽查结果</w:t>
            </w:r>
          </w:p>
          <w:p w14:paraId="47B5D9E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18"/>
                <w:szCs w:val="18"/>
              </w:rPr>
            </w:pPr>
            <w:r>
              <w:rPr>
                <w:rFonts w:hint="eastAsia" w:ascii="仿宋" w:hAnsi="仿宋" w:eastAsia="仿宋"/>
                <w:sz w:val="24"/>
                <w:szCs w:val="24"/>
              </w:rPr>
              <w:t>（完成的打“√”，未完成的打“×”）</w:t>
            </w:r>
          </w:p>
        </w:tc>
        <w:tc>
          <w:tcPr>
            <w:tcW w:w="2616" w:type="dxa"/>
            <w:vAlign w:val="center"/>
          </w:tcPr>
          <w:p w14:paraId="391222A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36"/>
                <w:szCs w:val="36"/>
              </w:rPr>
            </w:pPr>
            <w:r>
              <w:rPr>
                <w:rFonts w:hint="eastAsia" w:ascii="黑体" w:hAnsi="黑体" w:eastAsia="黑体"/>
                <w:sz w:val="28"/>
                <w:szCs w:val="28"/>
              </w:rPr>
              <w:t>存在问题</w:t>
            </w:r>
          </w:p>
        </w:tc>
      </w:tr>
      <w:tr w14:paraId="0F46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7EF1332">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仿宋" w:hAnsi="仿宋" w:eastAsia="仿宋"/>
                <w:sz w:val="18"/>
                <w:szCs w:val="18"/>
              </w:rPr>
            </w:pPr>
            <w:r>
              <w:rPr>
                <w:rFonts w:hint="eastAsia" w:ascii="仿宋" w:hAnsi="仿宋" w:eastAsia="仿宋"/>
                <w:sz w:val="18"/>
                <w:szCs w:val="18"/>
              </w:rPr>
              <w:t>2</w:t>
            </w:r>
          </w:p>
        </w:tc>
        <w:tc>
          <w:tcPr>
            <w:tcW w:w="5666" w:type="dxa"/>
            <w:vAlign w:val="top"/>
          </w:tcPr>
          <w:p w14:paraId="37A181CD">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经营内河普通货物运输业务的个人是否符合下列要求：</w:t>
            </w:r>
          </w:p>
          <w:p w14:paraId="0707D002">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w:t>
            </w:r>
            <w:r>
              <w:rPr>
                <w:rFonts w:hint="eastAsia" w:ascii="仿宋_GB2312" w:hAnsi="仿宋_GB2312" w:eastAsia="仿宋_GB2312" w:cs="仿宋_GB2312"/>
                <w:sz w:val="18"/>
                <w:szCs w:val="18"/>
                <w:lang w:val="en-US" w:eastAsia="zh-CN"/>
              </w:rPr>
              <w:t>市场监督</w:t>
            </w:r>
            <w:r>
              <w:rPr>
                <w:rFonts w:hint="eastAsia" w:ascii="仿宋_GB2312" w:hAnsi="仿宋_GB2312" w:eastAsia="仿宋_GB2312" w:cs="仿宋_GB2312"/>
                <w:sz w:val="18"/>
                <w:szCs w:val="18"/>
              </w:rPr>
              <w:t>管理部门登记的个体工商户;</w:t>
            </w:r>
          </w:p>
          <w:p w14:paraId="4D65C95A">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（2）符合规定的营运船舶；</w:t>
            </w:r>
          </w:p>
          <w:p w14:paraId="6475A66D">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（3）船舶吨位不超过国务院交通运输主管部门规定的自有船舶；</w:t>
            </w:r>
          </w:p>
          <w:p w14:paraId="2F02E40A">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（4）有健全的安全管理制度；</w:t>
            </w:r>
          </w:p>
          <w:p w14:paraId="4CF318AE">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（5）法律、行政法规规定的其他条件；</w:t>
            </w:r>
          </w:p>
          <w:p w14:paraId="649C2428">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（6）是否超越许可的经营范围从事经营活动；</w:t>
            </w:r>
          </w:p>
          <w:p w14:paraId="1C7B179F">
            <w:pPr>
              <w:keepLines/>
              <w:spacing w:line="300" w:lineRule="exact"/>
              <w:rPr>
                <w:rFonts w:ascii="黑体" w:hAnsi="黑体" w:eastAsia="黑体"/>
                <w:sz w:val="18"/>
                <w:szCs w:val="18"/>
              </w:rPr>
            </w:pPr>
            <w:r>
              <w:rPr>
                <w:rFonts w:hint="eastAsia" w:ascii="仿宋_GB2312" w:hAnsi="仿宋_GB2312" w:eastAsia="仿宋_GB2312" w:cs="仿宋_GB2312"/>
                <w:sz w:val="18"/>
                <w:szCs w:val="18"/>
              </w:rPr>
              <w:t>（7）是否有违反相关法律法规经营的行为。</w:t>
            </w:r>
          </w:p>
        </w:tc>
        <w:tc>
          <w:tcPr>
            <w:tcW w:w="2268" w:type="dxa"/>
            <w:vAlign w:val="top"/>
          </w:tcPr>
          <w:p w14:paraId="53DB6449">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975" w:type="dxa"/>
            <w:vAlign w:val="top"/>
          </w:tcPr>
          <w:p w14:paraId="2B50DDAF">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616" w:type="dxa"/>
            <w:vAlign w:val="top"/>
          </w:tcPr>
          <w:p w14:paraId="5CEBC9D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36"/>
                <w:szCs w:val="36"/>
              </w:rPr>
            </w:pPr>
          </w:p>
        </w:tc>
      </w:tr>
      <w:tr w14:paraId="0E56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D64E4FA">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仿宋" w:hAnsi="仿宋" w:eastAsia="仿宋"/>
                <w:sz w:val="18"/>
                <w:szCs w:val="18"/>
              </w:rPr>
            </w:pPr>
            <w:r>
              <w:rPr>
                <w:rFonts w:hint="eastAsia" w:ascii="仿宋" w:hAnsi="仿宋" w:eastAsia="仿宋"/>
                <w:sz w:val="18"/>
                <w:szCs w:val="18"/>
              </w:rPr>
              <w:t>3</w:t>
            </w:r>
          </w:p>
        </w:tc>
        <w:tc>
          <w:tcPr>
            <w:tcW w:w="5666" w:type="dxa"/>
            <w:vAlign w:val="top"/>
          </w:tcPr>
          <w:p w14:paraId="21374137">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 水路运输经营者投入运营的船舶是否符合下列要求：</w:t>
            </w:r>
          </w:p>
          <w:p w14:paraId="4A53D691">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（1）与经营者的经营范围相适应；</w:t>
            </w:r>
          </w:p>
          <w:p w14:paraId="621E6801">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（2）取得有效的船舶登记证书、船舶国籍证书、检验证书，以及按照相关法律、行政法规规定证明船舶符合安全与防污染和入级检验要求的其他证书；</w:t>
            </w:r>
          </w:p>
          <w:p w14:paraId="4698764B">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（3）符合国务院交通运输主管部门关于船型技术标准和船龄的要求；</w:t>
            </w:r>
          </w:p>
          <w:p w14:paraId="0C308560">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ascii="黑体" w:hAnsi="黑体" w:eastAsia="黑体"/>
                <w:sz w:val="18"/>
                <w:szCs w:val="18"/>
              </w:rPr>
            </w:pPr>
            <w:r>
              <w:rPr>
                <w:rFonts w:hint="eastAsia" w:ascii="仿宋_GB2312" w:hAnsi="仿宋_GB2312" w:eastAsia="仿宋_GB2312" w:cs="仿宋_GB2312"/>
                <w:sz w:val="18"/>
                <w:szCs w:val="18"/>
              </w:rPr>
              <w:t>（4）法律、行政法规规定的其他条件。</w:t>
            </w:r>
          </w:p>
        </w:tc>
        <w:tc>
          <w:tcPr>
            <w:tcW w:w="2268" w:type="dxa"/>
            <w:vAlign w:val="top"/>
          </w:tcPr>
          <w:p w14:paraId="6148FF9B">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975" w:type="dxa"/>
            <w:vAlign w:val="top"/>
          </w:tcPr>
          <w:p w14:paraId="47F80416">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ascii="黑体" w:hAnsi="黑体" w:eastAsia="黑体"/>
                <w:sz w:val="18"/>
                <w:szCs w:val="18"/>
              </w:rPr>
            </w:pPr>
          </w:p>
        </w:tc>
        <w:tc>
          <w:tcPr>
            <w:tcW w:w="2616" w:type="dxa"/>
            <w:vAlign w:val="top"/>
          </w:tcPr>
          <w:p w14:paraId="6D525C3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黑体" w:hAnsi="黑体" w:eastAsia="黑体"/>
                <w:sz w:val="36"/>
                <w:szCs w:val="36"/>
              </w:rPr>
            </w:pPr>
          </w:p>
        </w:tc>
      </w:tr>
      <w:tr w14:paraId="5E37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51" w:type="dxa"/>
            <w:vAlign w:val="center"/>
          </w:tcPr>
          <w:p w14:paraId="14E04F1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仿宋" w:hAnsi="仿宋" w:eastAsia="仿宋"/>
                <w:sz w:val="28"/>
                <w:szCs w:val="28"/>
              </w:rPr>
            </w:pPr>
            <w:r>
              <w:rPr>
                <w:rFonts w:hint="eastAsia" w:ascii="仿宋" w:hAnsi="仿宋" w:eastAsia="仿宋"/>
                <w:sz w:val="28"/>
                <w:szCs w:val="28"/>
              </w:rPr>
              <w:t>整改 意见</w:t>
            </w:r>
          </w:p>
        </w:tc>
        <w:tc>
          <w:tcPr>
            <w:tcW w:w="13525" w:type="dxa"/>
            <w:gridSpan w:val="4"/>
            <w:vAlign w:val="top"/>
          </w:tcPr>
          <w:p w14:paraId="0EA10520">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sz w:val="24"/>
                <w:szCs w:val="24"/>
              </w:rPr>
            </w:pPr>
          </w:p>
          <w:p w14:paraId="7389BD1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24"/>
                <w:szCs w:val="24"/>
              </w:rPr>
            </w:pPr>
          </w:p>
          <w:p w14:paraId="6D339DF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24"/>
                <w:szCs w:val="24"/>
              </w:rPr>
            </w:pPr>
          </w:p>
          <w:p w14:paraId="3138C68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sz w:val="28"/>
                <w:szCs w:val="28"/>
              </w:rPr>
            </w:pPr>
            <w:r>
              <w:rPr>
                <w:rFonts w:hint="eastAsia" w:ascii="仿宋" w:hAnsi="仿宋" w:eastAsia="仿宋"/>
                <w:sz w:val="24"/>
                <w:szCs w:val="24"/>
              </w:rPr>
              <w:t xml:space="preserve">                          </w:t>
            </w:r>
          </w:p>
          <w:p w14:paraId="6478CDD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仿宋" w:hAnsi="仿宋" w:eastAsia="仿宋"/>
                <w:sz w:val="24"/>
                <w:szCs w:val="24"/>
              </w:rPr>
            </w:pPr>
            <w:r>
              <w:rPr>
                <w:rFonts w:hint="eastAsia" w:ascii="仿宋" w:hAnsi="仿宋" w:eastAsia="仿宋"/>
                <w:sz w:val="28"/>
                <w:szCs w:val="28"/>
              </w:rPr>
              <w:t xml:space="preserve">                              检查人员签名：                       时间： </w:t>
            </w:r>
          </w:p>
        </w:tc>
      </w:tr>
      <w:tr w14:paraId="28FF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1" w:type="dxa"/>
            <w:vAlign w:val="center"/>
          </w:tcPr>
          <w:p w14:paraId="591AD4C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28"/>
                <w:szCs w:val="28"/>
              </w:rPr>
            </w:pPr>
            <w:r>
              <w:rPr>
                <w:rFonts w:hint="eastAsia" w:ascii="仿宋" w:hAnsi="仿宋" w:eastAsia="仿宋"/>
                <w:sz w:val="28"/>
                <w:szCs w:val="28"/>
                <w:lang w:val="en-US" w:eastAsia="zh-CN"/>
              </w:rPr>
              <w:t>受</w:t>
            </w:r>
            <w:r>
              <w:rPr>
                <w:rFonts w:hint="eastAsia" w:ascii="仿宋" w:hAnsi="仿宋" w:eastAsia="仿宋"/>
                <w:sz w:val="28"/>
                <w:szCs w:val="28"/>
              </w:rPr>
              <w:t>检单位意见</w:t>
            </w:r>
          </w:p>
        </w:tc>
        <w:tc>
          <w:tcPr>
            <w:tcW w:w="13525" w:type="dxa"/>
            <w:gridSpan w:val="4"/>
            <w:vAlign w:val="top"/>
          </w:tcPr>
          <w:p w14:paraId="4EFCC94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24"/>
                <w:szCs w:val="24"/>
              </w:rPr>
            </w:pPr>
          </w:p>
          <w:p w14:paraId="2DC509F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sz w:val="24"/>
                <w:szCs w:val="24"/>
              </w:rPr>
            </w:pPr>
          </w:p>
          <w:p w14:paraId="24E2BBB5">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sz w:val="24"/>
                <w:szCs w:val="24"/>
              </w:rPr>
            </w:pPr>
          </w:p>
          <w:p w14:paraId="00E03B69">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 w:hAnsi="仿宋" w:eastAsia="仿宋"/>
                <w:sz w:val="28"/>
                <w:szCs w:val="28"/>
                <w:lang w:val="en-US" w:eastAsia="zh-CN"/>
              </w:rPr>
            </w:pPr>
          </w:p>
          <w:p w14:paraId="6985B8DC">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 w:hAnsi="仿宋" w:eastAsia="仿宋"/>
                <w:sz w:val="28"/>
                <w:szCs w:val="28"/>
                <w:lang w:val="en-US" w:eastAsia="zh-CN"/>
              </w:rPr>
            </w:pPr>
          </w:p>
          <w:p w14:paraId="0C156B8F">
            <w:pPr>
              <w:keepNext w:val="0"/>
              <w:keepLines w:val="0"/>
              <w:pageBreakBefore w:val="0"/>
              <w:kinsoku/>
              <w:wordWrap/>
              <w:overflowPunct/>
              <w:topLinePunct w:val="0"/>
              <w:autoSpaceDE/>
              <w:autoSpaceDN/>
              <w:bidi w:val="0"/>
              <w:adjustRightInd/>
              <w:snapToGrid/>
              <w:spacing w:line="300" w:lineRule="exact"/>
              <w:ind w:firstLine="5040" w:firstLineChars="1800"/>
              <w:textAlignment w:val="auto"/>
              <w:outlineLvl w:val="9"/>
              <w:rPr>
                <w:rFonts w:hint="eastAsia" w:ascii="仿宋" w:hAnsi="仿宋" w:eastAsia="仿宋"/>
                <w:sz w:val="24"/>
                <w:szCs w:val="24"/>
              </w:rPr>
            </w:pPr>
            <w:r>
              <w:rPr>
                <w:rFonts w:hint="eastAsia" w:ascii="仿宋" w:hAnsi="仿宋" w:eastAsia="仿宋"/>
                <w:sz w:val="28"/>
                <w:szCs w:val="28"/>
                <w:lang w:val="en-US" w:eastAsia="zh-CN"/>
              </w:rPr>
              <w:t>受</w:t>
            </w:r>
            <w:r>
              <w:rPr>
                <w:rFonts w:hint="eastAsia" w:ascii="仿宋" w:hAnsi="仿宋" w:eastAsia="仿宋"/>
                <w:sz w:val="28"/>
                <w:szCs w:val="28"/>
              </w:rPr>
              <w:t>检企业负责人签名：（盖章）               时间：</w:t>
            </w:r>
          </w:p>
        </w:tc>
      </w:tr>
    </w:tbl>
    <w:p w14:paraId="1C141BDC"/>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A89DB8-670D-4E1E-85B0-AB9CD635D2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45FD188-76FC-4D86-BADC-1FA012BDC0AF}"/>
  </w:font>
  <w:font w:name="方正小标宋简体">
    <w:panose1 w:val="02000000000000000000"/>
    <w:charset w:val="86"/>
    <w:family w:val="script"/>
    <w:pitch w:val="default"/>
    <w:sig w:usb0="00000001" w:usb1="08000000" w:usb2="00000000" w:usb3="00000000" w:csb0="00040000" w:csb1="00000000"/>
    <w:embedRegular r:id="rId3" w:fontKey="{ED94646C-95FE-45C0-A0B6-7C53E688C88A}"/>
  </w:font>
  <w:font w:name="仿宋_GB2312">
    <w:altName w:val="仿宋"/>
    <w:panose1 w:val="02010609030101010101"/>
    <w:charset w:val="86"/>
    <w:family w:val="modern"/>
    <w:pitch w:val="default"/>
    <w:sig w:usb0="00000000" w:usb1="00000000" w:usb2="00000000" w:usb3="00000000" w:csb0="00040000" w:csb1="00000000"/>
    <w:embedRegular r:id="rId4" w:fontKey="{8F98C903-24FA-463F-AF74-F0C1AD6D61BC}"/>
  </w:font>
  <w:font w:name="仿宋">
    <w:panose1 w:val="02010609060101010101"/>
    <w:charset w:val="86"/>
    <w:family w:val="auto"/>
    <w:pitch w:val="default"/>
    <w:sig w:usb0="800002BF" w:usb1="38CF7CFA" w:usb2="00000016" w:usb3="00000000" w:csb0="00040001" w:csb1="00000000"/>
    <w:embedRegular r:id="rId5" w:fontKey="{4CA2EB4C-ABE0-4726-A786-6FE469AC74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B7455"/>
    <w:multiLevelType w:val="singleLevel"/>
    <w:tmpl w:val="0F8B7455"/>
    <w:lvl w:ilvl="0" w:tentative="0">
      <w:start w:val="1"/>
      <w:numFmt w:val="decimal"/>
      <w:lvlText w:val="%1."/>
      <w:lvlJc w:val="left"/>
      <w:pPr>
        <w:tabs>
          <w:tab w:val="left" w:pos="312"/>
        </w:tabs>
      </w:pPr>
    </w:lvl>
  </w:abstractNum>
  <w:abstractNum w:abstractNumId="1">
    <w:nsid w:val="1F315519"/>
    <w:multiLevelType w:val="singleLevel"/>
    <w:tmpl w:val="1F3155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jI0NDllMGZkOTI2MGQ1NmM5NjE1YmZjYTRlMzMifQ=="/>
  </w:docVars>
  <w:rsids>
    <w:rsidRoot w:val="375B1631"/>
    <w:rsid w:val="2D7B562D"/>
    <w:rsid w:val="2EA0410A"/>
    <w:rsid w:val="3728158B"/>
    <w:rsid w:val="375B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2024-09-03T07:53:00Z</dcterms:created>
  <dc:creator>哦呦</dc:creator>
  <cp:lastModifiedBy>哦呦</cp:lastModifiedBy>
  <dcterms:modified xsi:type="dcterms:W3CDTF">2024-09-03T07:58:03Z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4CC40CBAD50C42F89C7E1C5EEA1C34C0_13</vt:lpwstr>
  </property>
</Properties>
</file>