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81" w:rsidRPr="00985572" w:rsidRDefault="00F30A81" w:rsidP="00E47BE1">
      <w:pPr>
        <w:tabs>
          <w:tab w:val="left" w:pos="14520"/>
        </w:tabs>
        <w:snapToGrid w:val="0"/>
        <w:spacing w:line="520" w:lineRule="exact"/>
        <w:ind w:right="-40" w:firstLineChars="200" w:firstLine="400"/>
        <w:jc w:val="center"/>
        <w:rPr>
          <w:rFonts w:ascii="黑体" w:eastAsia="黑体"/>
          <w:sz w:val="20"/>
          <w:szCs w:val="20"/>
        </w:rPr>
      </w:pPr>
    </w:p>
    <w:p w:rsidR="00985572" w:rsidRDefault="00985572" w:rsidP="003E7FA2">
      <w:pPr>
        <w:tabs>
          <w:tab w:val="left" w:pos="14520"/>
        </w:tabs>
        <w:snapToGrid w:val="0"/>
        <w:ind w:right="-40" w:firstLineChars="200" w:firstLine="880"/>
        <w:jc w:val="center"/>
        <w:rPr>
          <w:rFonts w:ascii="黑体" w:eastAsia="黑体"/>
          <w:sz w:val="44"/>
          <w:szCs w:val="44"/>
        </w:rPr>
      </w:pPr>
    </w:p>
    <w:p w:rsidR="00F30A81" w:rsidRDefault="00F30A81" w:rsidP="003E7FA2">
      <w:pPr>
        <w:tabs>
          <w:tab w:val="left" w:pos="14520"/>
        </w:tabs>
        <w:snapToGrid w:val="0"/>
        <w:ind w:right="-40" w:firstLineChars="200" w:firstLine="880"/>
        <w:jc w:val="center"/>
        <w:rPr>
          <w:rFonts w:ascii="黑体" w:eastAsia="黑体"/>
          <w:sz w:val="44"/>
          <w:szCs w:val="44"/>
        </w:rPr>
      </w:pPr>
    </w:p>
    <w:p w:rsidR="00F30A81" w:rsidRDefault="00F30A81" w:rsidP="003E7FA2">
      <w:pPr>
        <w:tabs>
          <w:tab w:val="left" w:pos="14520"/>
        </w:tabs>
        <w:snapToGrid w:val="0"/>
        <w:ind w:right="-40" w:firstLineChars="200" w:firstLine="880"/>
        <w:jc w:val="center"/>
        <w:rPr>
          <w:rFonts w:ascii="黑体" w:eastAsia="黑体"/>
          <w:sz w:val="44"/>
          <w:szCs w:val="44"/>
        </w:rPr>
      </w:pPr>
    </w:p>
    <w:p w:rsidR="004E3524" w:rsidRDefault="00F30A81" w:rsidP="003E7FA2">
      <w:pPr>
        <w:tabs>
          <w:tab w:val="left" w:pos="14520"/>
        </w:tabs>
        <w:snapToGrid w:val="0"/>
        <w:ind w:right="-40" w:firstLineChars="200" w:firstLine="88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空间规划设计要点及项目建设条件</w:t>
      </w:r>
    </w:p>
    <w:p w:rsidR="004B1D26" w:rsidRPr="004B1D26" w:rsidRDefault="004B1D26" w:rsidP="004B1D26">
      <w:pPr>
        <w:tabs>
          <w:tab w:val="left" w:pos="14520"/>
        </w:tabs>
        <w:snapToGrid w:val="0"/>
        <w:ind w:right="-40"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4E3524" w:rsidRDefault="004E3524" w:rsidP="00DD1054">
      <w:pPr>
        <w:spacing w:line="3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sz w:val="27"/>
          <w:szCs w:val="27"/>
        </w:rPr>
        <w:t>一、基本情况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8770"/>
      </w:tblGrid>
      <w:tr w:rsidR="004E3524" w:rsidRPr="00682B90" w:rsidTr="00167DD9">
        <w:trPr>
          <w:trHeight w:hRule="exact" w:val="431"/>
        </w:trPr>
        <w:tc>
          <w:tcPr>
            <w:tcW w:w="1308" w:type="dxa"/>
            <w:vAlign w:val="center"/>
          </w:tcPr>
          <w:p w:rsidR="004E3524" w:rsidRPr="00662134" w:rsidRDefault="0045231D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地块</w:t>
            </w:r>
            <w:r w:rsidR="004E3524"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名称</w:t>
            </w:r>
          </w:p>
        </w:tc>
        <w:tc>
          <w:tcPr>
            <w:tcW w:w="8770" w:type="dxa"/>
            <w:vAlign w:val="center"/>
          </w:tcPr>
          <w:p w:rsidR="004E3524" w:rsidRDefault="00B95717" w:rsidP="00617771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桂平市</w:t>
            </w:r>
            <w:r w:rsidR="00C56648" w:rsidRPr="00C56648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下湾镇肉食市场地块</w:t>
            </w:r>
          </w:p>
        </w:tc>
      </w:tr>
      <w:tr w:rsidR="004E3524" w:rsidTr="00167DD9">
        <w:trPr>
          <w:trHeight w:hRule="exact" w:val="431"/>
        </w:trPr>
        <w:tc>
          <w:tcPr>
            <w:tcW w:w="1308" w:type="dxa"/>
            <w:vAlign w:val="center"/>
          </w:tcPr>
          <w:p w:rsidR="004E3524" w:rsidRPr="00662134" w:rsidRDefault="0045231D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地块</w:t>
            </w:r>
            <w:r w:rsidR="004E3524"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位置</w:t>
            </w:r>
          </w:p>
        </w:tc>
        <w:tc>
          <w:tcPr>
            <w:tcW w:w="8770" w:type="dxa"/>
            <w:vAlign w:val="center"/>
          </w:tcPr>
          <w:p w:rsidR="004E3524" w:rsidRPr="0045231D" w:rsidRDefault="000110C6" w:rsidP="00692927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桂平市</w:t>
            </w:r>
            <w:r w:rsidR="00C56648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下湾镇</w:t>
            </w:r>
            <w:r w:rsidR="00692927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东胜街</w:t>
            </w:r>
          </w:p>
        </w:tc>
      </w:tr>
      <w:tr w:rsidR="004E3524" w:rsidTr="00167DD9">
        <w:trPr>
          <w:trHeight w:hRule="exact" w:val="431"/>
        </w:trPr>
        <w:tc>
          <w:tcPr>
            <w:tcW w:w="1308" w:type="dxa"/>
            <w:vAlign w:val="center"/>
          </w:tcPr>
          <w:p w:rsidR="004E3524" w:rsidRPr="00662134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用地性质</w:t>
            </w:r>
          </w:p>
        </w:tc>
        <w:tc>
          <w:tcPr>
            <w:tcW w:w="8770" w:type="dxa"/>
            <w:vAlign w:val="center"/>
          </w:tcPr>
          <w:p w:rsidR="004E3524" w:rsidRPr="009C4652" w:rsidRDefault="008F6E7D" w:rsidP="00763E8B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商业</w:t>
            </w:r>
            <w:r w:rsidR="004602EF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用地</w:t>
            </w:r>
            <w:r w:rsidR="004E3524" w:rsidRPr="009C4652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 xml:space="preserve"> </w:t>
            </w:r>
          </w:p>
        </w:tc>
      </w:tr>
      <w:tr w:rsidR="00892887" w:rsidTr="00167DD9">
        <w:trPr>
          <w:trHeight w:hRule="exact" w:val="624"/>
        </w:trPr>
        <w:tc>
          <w:tcPr>
            <w:tcW w:w="1308" w:type="dxa"/>
            <w:vAlign w:val="center"/>
          </w:tcPr>
          <w:p w:rsidR="00892887" w:rsidRPr="00662134" w:rsidRDefault="00892887" w:rsidP="00167DD9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规划净用地面积</w:t>
            </w:r>
          </w:p>
        </w:tc>
        <w:tc>
          <w:tcPr>
            <w:tcW w:w="8770" w:type="dxa"/>
            <w:vAlign w:val="center"/>
          </w:tcPr>
          <w:p w:rsidR="00892887" w:rsidRPr="009C4652" w:rsidRDefault="00C56648" w:rsidP="00C56648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600</w:t>
            </w:r>
            <w:r w:rsidR="00164E7E" w:rsidRPr="009C4652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平方米</w:t>
            </w:r>
            <w:r w:rsidR="005C2DE0" w:rsidRPr="009C4652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，</w:t>
            </w:r>
            <w:r w:rsidR="00967534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约</w:t>
            </w: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0.90</w:t>
            </w:r>
            <w:r w:rsidR="00915F36" w:rsidRPr="009C4652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亩。</w:t>
            </w:r>
          </w:p>
        </w:tc>
      </w:tr>
      <w:tr w:rsidR="00E1466A" w:rsidTr="009C4652">
        <w:trPr>
          <w:trHeight w:hRule="exact" w:val="794"/>
        </w:trPr>
        <w:tc>
          <w:tcPr>
            <w:tcW w:w="1308" w:type="dxa"/>
            <w:vAlign w:val="center"/>
          </w:tcPr>
          <w:p w:rsidR="00E1466A" w:rsidRPr="00662134" w:rsidRDefault="009C4652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规划控制指标依据</w:t>
            </w:r>
          </w:p>
        </w:tc>
        <w:tc>
          <w:tcPr>
            <w:tcW w:w="8770" w:type="dxa"/>
            <w:vAlign w:val="center"/>
          </w:tcPr>
          <w:p w:rsidR="00E1466A" w:rsidRPr="009C4652" w:rsidRDefault="00C56648" w:rsidP="00B95717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《桂平市下湾镇总体规划》</w:t>
            </w:r>
            <w:r w:rsidR="00B95717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《桂平市城乡规划委员会2024年第三次例会纪要》</w:t>
            </w:r>
            <w:r w:rsidR="00A51D4F">
              <w:rPr>
                <w:rFonts w:ascii="仿宋_GB2312" w:eastAsia="仿宋_GB2312" w:hint="eastAsia"/>
                <w:sz w:val="27"/>
                <w:szCs w:val="27"/>
              </w:rPr>
              <w:t>。</w:t>
            </w:r>
          </w:p>
        </w:tc>
      </w:tr>
    </w:tbl>
    <w:p w:rsidR="004E3524" w:rsidRDefault="004E352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t>二、规划控制指标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8782"/>
      </w:tblGrid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容积率</w:t>
            </w:r>
          </w:p>
        </w:tc>
        <w:tc>
          <w:tcPr>
            <w:tcW w:w="8782" w:type="dxa"/>
            <w:vAlign w:val="center"/>
          </w:tcPr>
          <w:p w:rsidR="004E3524" w:rsidRDefault="004E3524" w:rsidP="00C56648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bCs/>
                <w:sz w:val="27"/>
                <w:szCs w:val="27"/>
              </w:rPr>
              <w:t>不大于</w:t>
            </w:r>
            <w:r w:rsidR="00C56648">
              <w:rPr>
                <w:rFonts w:ascii="仿宋_GB2312" w:eastAsia="仿宋_GB2312" w:hint="eastAsia"/>
                <w:bCs/>
                <w:sz w:val="27"/>
                <w:szCs w:val="27"/>
              </w:rPr>
              <w:t>3.0</w:t>
            </w:r>
            <w:r w:rsidR="00656BCC">
              <w:rPr>
                <w:rFonts w:ascii="仿宋_GB2312" w:eastAsia="仿宋_GB2312" w:hint="eastAsia"/>
                <w:bCs/>
                <w:sz w:val="27"/>
                <w:szCs w:val="27"/>
              </w:rPr>
              <w:t>（按实用地计）</w:t>
            </w:r>
          </w:p>
        </w:tc>
      </w:tr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建筑密度</w:t>
            </w:r>
          </w:p>
        </w:tc>
        <w:tc>
          <w:tcPr>
            <w:tcW w:w="8782" w:type="dxa"/>
            <w:vAlign w:val="center"/>
          </w:tcPr>
          <w:p w:rsidR="004E3524" w:rsidRDefault="00B95717" w:rsidP="002E3C03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bCs/>
                <w:sz w:val="27"/>
                <w:szCs w:val="27"/>
              </w:rPr>
              <w:t>不大于100</w:t>
            </w:r>
            <w:r w:rsidR="004E3524">
              <w:rPr>
                <w:rFonts w:ascii="仿宋_GB2312" w:eastAsia="仿宋_GB2312" w:hint="eastAsia"/>
                <w:bCs/>
                <w:sz w:val="27"/>
                <w:szCs w:val="27"/>
              </w:rPr>
              <w:t>%</w:t>
            </w:r>
            <w:r w:rsidR="00656BCC">
              <w:rPr>
                <w:rFonts w:ascii="仿宋_GB2312" w:eastAsia="仿宋_GB2312" w:hint="eastAsia"/>
                <w:bCs/>
                <w:sz w:val="27"/>
                <w:szCs w:val="27"/>
              </w:rPr>
              <w:t>（按实用地计）</w:t>
            </w:r>
          </w:p>
        </w:tc>
      </w:tr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绿地率</w:t>
            </w:r>
          </w:p>
        </w:tc>
        <w:tc>
          <w:tcPr>
            <w:tcW w:w="8782" w:type="dxa"/>
            <w:vAlign w:val="center"/>
          </w:tcPr>
          <w:p w:rsidR="004E3524" w:rsidRDefault="00C56648" w:rsidP="00967534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——</w:t>
            </w:r>
            <w:r w:rsidR="00967534">
              <w:rPr>
                <w:rFonts w:ascii="仿宋_GB2312" w:eastAsia="仿宋_GB2312"/>
                <w:bCs/>
                <w:sz w:val="27"/>
                <w:szCs w:val="27"/>
              </w:rPr>
              <w:t xml:space="preserve"> </w:t>
            </w:r>
          </w:p>
        </w:tc>
      </w:tr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建筑限高</w:t>
            </w:r>
          </w:p>
        </w:tc>
        <w:tc>
          <w:tcPr>
            <w:tcW w:w="8782" w:type="dxa"/>
            <w:vAlign w:val="center"/>
          </w:tcPr>
          <w:p w:rsidR="004E3524" w:rsidRDefault="009F2833" w:rsidP="004D65BC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16</w:t>
            </w:r>
            <w:r w:rsidR="004E3524"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  <w:t>米</w:t>
            </w:r>
            <w:r w:rsidR="00955DC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以下</w:t>
            </w:r>
          </w:p>
        </w:tc>
      </w:tr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其他要求</w:t>
            </w:r>
          </w:p>
        </w:tc>
        <w:tc>
          <w:tcPr>
            <w:tcW w:w="8782" w:type="dxa"/>
            <w:vAlign w:val="center"/>
          </w:tcPr>
          <w:p w:rsidR="004E3524" w:rsidRDefault="004E3524" w:rsidP="002E3C03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</w:tr>
    </w:tbl>
    <w:p w:rsidR="004E3524" w:rsidRDefault="004E352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t>三、建（构）筑物间距及后退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8"/>
      </w:tblGrid>
      <w:tr w:rsidR="00C20835" w:rsidTr="00B95717">
        <w:trPr>
          <w:trHeight w:hRule="exact" w:val="1474"/>
        </w:trPr>
        <w:tc>
          <w:tcPr>
            <w:tcW w:w="10078" w:type="dxa"/>
            <w:vAlign w:val="center"/>
          </w:tcPr>
          <w:p w:rsidR="00C20835" w:rsidRPr="00662134" w:rsidRDefault="00C20835" w:rsidP="00167DD9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1.退离电力线的距离须符合电力安全规范要求；</w:t>
            </w:r>
          </w:p>
          <w:p w:rsidR="00C20835" w:rsidRPr="00662134" w:rsidRDefault="00C20835" w:rsidP="00167DD9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2.本项目配套的供水、供电、供燃气、通信等附属设施须控制在用地红线内；</w:t>
            </w:r>
          </w:p>
          <w:p w:rsidR="00C20835" w:rsidRPr="00C8136C" w:rsidRDefault="00C20835" w:rsidP="00B95717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66213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3.退让用地及道路红线</w:t>
            </w:r>
            <w:r w:rsidR="00C56648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要求</w:t>
            </w:r>
            <w:r w:rsidR="0066213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：</w:t>
            </w:r>
            <w:r w:rsidR="0018406C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与周边建筑之间的消防、通风、采光间距应符合有关规范要求</w:t>
            </w:r>
            <w:r w:rsidR="0018406C" w:rsidRPr="00DA7712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。</w:t>
            </w:r>
            <w:r w:rsidRPr="00662134">
              <w:rPr>
                <w:rFonts w:ascii="仿宋_GB2312" w:eastAsia="仿宋_GB2312" w:hAnsi="仿宋_GB2312" w:cs="仿宋_GB2312"/>
                <w:sz w:val="27"/>
                <w:szCs w:val="27"/>
              </w:rPr>
              <w:t xml:space="preserve"> </w:t>
            </w:r>
          </w:p>
        </w:tc>
      </w:tr>
    </w:tbl>
    <w:p w:rsidR="004E3524" w:rsidRDefault="004E352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t>四、交通组织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1663"/>
        <w:gridCol w:w="7128"/>
      </w:tblGrid>
      <w:tr w:rsidR="004E3524" w:rsidTr="00167DD9">
        <w:trPr>
          <w:trHeight w:hRule="exact" w:val="431"/>
        </w:trPr>
        <w:tc>
          <w:tcPr>
            <w:tcW w:w="2950" w:type="dxa"/>
            <w:gridSpan w:val="2"/>
            <w:vAlign w:val="center"/>
          </w:tcPr>
          <w:p w:rsidR="004E3524" w:rsidRPr="00763E8B" w:rsidRDefault="00F65E2F" w:rsidP="00763E8B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机动车</w:t>
            </w:r>
            <w:r w:rsidR="004E3524"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主要出入口</w:t>
            </w:r>
          </w:p>
        </w:tc>
        <w:tc>
          <w:tcPr>
            <w:tcW w:w="7128" w:type="dxa"/>
            <w:vAlign w:val="center"/>
          </w:tcPr>
          <w:p w:rsidR="004E3524" w:rsidRPr="00E1466A" w:rsidRDefault="007E3778" w:rsidP="00164E7E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——</w:t>
            </w:r>
          </w:p>
        </w:tc>
      </w:tr>
      <w:tr w:rsidR="004E3524" w:rsidTr="00C2196F">
        <w:trPr>
          <w:trHeight w:hRule="exact" w:val="425"/>
        </w:trPr>
        <w:tc>
          <w:tcPr>
            <w:tcW w:w="1287" w:type="dxa"/>
            <w:vMerge w:val="restart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停车位配建</w:t>
            </w:r>
          </w:p>
        </w:tc>
        <w:tc>
          <w:tcPr>
            <w:tcW w:w="1663" w:type="dxa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机动车</w:t>
            </w:r>
          </w:p>
        </w:tc>
        <w:tc>
          <w:tcPr>
            <w:tcW w:w="7128" w:type="dxa"/>
            <w:vAlign w:val="center"/>
          </w:tcPr>
          <w:p w:rsidR="004E3524" w:rsidRDefault="00B95717" w:rsidP="00915F36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0.3</w:t>
            </w:r>
            <w:r w:rsidR="00A06C1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车位/100平方米建筑面积</w:t>
            </w:r>
          </w:p>
        </w:tc>
      </w:tr>
      <w:tr w:rsidR="004E3524" w:rsidRPr="00A06C1C" w:rsidTr="00C2196F">
        <w:trPr>
          <w:trHeight w:hRule="exact" w:val="425"/>
        </w:trPr>
        <w:tc>
          <w:tcPr>
            <w:tcW w:w="1287" w:type="dxa"/>
            <w:vMerge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</w:p>
        </w:tc>
        <w:tc>
          <w:tcPr>
            <w:tcW w:w="1663" w:type="dxa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非机动车</w:t>
            </w:r>
          </w:p>
        </w:tc>
        <w:tc>
          <w:tcPr>
            <w:tcW w:w="7128" w:type="dxa"/>
            <w:vAlign w:val="center"/>
          </w:tcPr>
          <w:p w:rsidR="004E3524" w:rsidRDefault="00B95717" w:rsidP="00915F36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——</w:t>
            </w:r>
          </w:p>
        </w:tc>
      </w:tr>
      <w:tr w:rsidR="004E3524" w:rsidTr="003E293E">
        <w:trPr>
          <w:trHeight w:hRule="exact" w:val="794"/>
        </w:trPr>
        <w:tc>
          <w:tcPr>
            <w:tcW w:w="1287" w:type="dxa"/>
            <w:vAlign w:val="center"/>
          </w:tcPr>
          <w:p w:rsidR="004E3524" w:rsidRPr="00763E8B" w:rsidRDefault="004E3524" w:rsidP="00167DD9">
            <w:pPr>
              <w:snapToGrid w:val="0"/>
              <w:spacing w:line="3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其他</w:t>
            </w:r>
          </w:p>
          <w:p w:rsidR="004E3524" w:rsidRDefault="004E3524" w:rsidP="00167DD9">
            <w:pPr>
              <w:snapToGrid w:val="0"/>
              <w:spacing w:line="3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要求</w:t>
            </w:r>
          </w:p>
        </w:tc>
        <w:tc>
          <w:tcPr>
            <w:tcW w:w="8791" w:type="dxa"/>
            <w:gridSpan w:val="2"/>
            <w:vAlign w:val="center"/>
          </w:tcPr>
          <w:p w:rsidR="004E3524" w:rsidRDefault="000443AA" w:rsidP="000443AA">
            <w:pPr>
              <w:snapToGrid w:val="0"/>
              <w:spacing w:line="3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——</w:t>
            </w:r>
          </w:p>
        </w:tc>
      </w:tr>
    </w:tbl>
    <w:p w:rsidR="00167DD9" w:rsidRDefault="00167DD9" w:rsidP="006E7533">
      <w:pPr>
        <w:rPr>
          <w:rFonts w:ascii="黑体" w:eastAsia="黑体" w:hAnsi="黑体" w:cs="黑体"/>
          <w:b/>
          <w:sz w:val="27"/>
          <w:szCs w:val="27"/>
        </w:rPr>
      </w:pPr>
    </w:p>
    <w:p w:rsidR="00D23E1C" w:rsidRDefault="00D23E1C" w:rsidP="00DD1054">
      <w:pPr>
        <w:spacing w:line="360" w:lineRule="exact"/>
        <w:rPr>
          <w:rFonts w:ascii="黑体" w:eastAsia="黑体" w:hAnsi="黑体" w:cs="黑体"/>
          <w:b/>
          <w:sz w:val="27"/>
          <w:szCs w:val="27"/>
        </w:rPr>
      </w:pPr>
    </w:p>
    <w:p w:rsidR="00B95717" w:rsidRDefault="00B95717" w:rsidP="00DD1054">
      <w:pPr>
        <w:spacing w:line="360" w:lineRule="exact"/>
        <w:rPr>
          <w:rFonts w:ascii="黑体" w:eastAsia="黑体" w:hAnsi="黑体" w:cs="黑体"/>
          <w:b/>
          <w:sz w:val="27"/>
          <w:szCs w:val="27"/>
        </w:rPr>
      </w:pPr>
    </w:p>
    <w:p w:rsidR="00B95717" w:rsidRDefault="00B95717" w:rsidP="00DD1054">
      <w:pPr>
        <w:spacing w:line="360" w:lineRule="exact"/>
        <w:rPr>
          <w:rFonts w:ascii="黑体" w:eastAsia="黑体" w:hAnsi="黑体" w:cs="黑体"/>
          <w:b/>
          <w:sz w:val="27"/>
          <w:szCs w:val="27"/>
        </w:rPr>
      </w:pPr>
    </w:p>
    <w:p w:rsidR="00170EFB" w:rsidRDefault="00170EFB" w:rsidP="00DD1054">
      <w:pPr>
        <w:spacing w:line="360" w:lineRule="exact"/>
        <w:rPr>
          <w:rFonts w:ascii="黑体" w:eastAsia="黑体" w:hAnsi="黑体" w:cs="黑体"/>
          <w:b/>
          <w:sz w:val="27"/>
          <w:szCs w:val="27"/>
        </w:rPr>
      </w:pPr>
    </w:p>
    <w:p w:rsidR="003E293E" w:rsidRDefault="003E293E" w:rsidP="00DD1054">
      <w:pPr>
        <w:spacing w:line="360" w:lineRule="exact"/>
        <w:rPr>
          <w:rFonts w:ascii="黑体" w:eastAsia="黑体" w:hAnsi="黑体" w:cs="黑体"/>
          <w:b/>
          <w:sz w:val="27"/>
          <w:szCs w:val="27"/>
        </w:rPr>
      </w:pPr>
    </w:p>
    <w:p w:rsidR="004E3524" w:rsidRDefault="004E352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lastRenderedPageBreak/>
        <w:t>五、配套设施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694"/>
      </w:tblGrid>
      <w:tr w:rsidR="0045231D" w:rsidTr="00DF12D8">
        <w:trPr>
          <w:trHeight w:hRule="exact" w:val="431"/>
        </w:trPr>
        <w:tc>
          <w:tcPr>
            <w:tcW w:w="10078" w:type="dxa"/>
            <w:gridSpan w:val="2"/>
            <w:vAlign w:val="center"/>
          </w:tcPr>
          <w:p w:rsidR="0045231D" w:rsidRDefault="0045231D" w:rsidP="00B633B5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（一）公共配套设施</w:t>
            </w:r>
          </w:p>
        </w:tc>
      </w:tr>
      <w:tr w:rsidR="006B3ED4" w:rsidTr="004F6C09">
        <w:trPr>
          <w:trHeight w:val="852"/>
        </w:trPr>
        <w:tc>
          <w:tcPr>
            <w:tcW w:w="1384" w:type="dxa"/>
            <w:vAlign w:val="center"/>
          </w:tcPr>
          <w:p w:rsidR="006B3ED4" w:rsidRPr="00AB1C7E" w:rsidRDefault="006B3ED4" w:rsidP="00AB1C7E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AB1C7E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可合设非独立占地</w:t>
            </w:r>
          </w:p>
        </w:tc>
        <w:tc>
          <w:tcPr>
            <w:tcW w:w="8694" w:type="dxa"/>
            <w:vAlign w:val="center"/>
          </w:tcPr>
          <w:p w:rsidR="006B3ED4" w:rsidRDefault="006B3ED4" w:rsidP="00B72A1C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物业管理:</w:t>
            </w: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按《广西壮族自治区物业管理条例》（2020年版）执行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 xml:space="preserve"> </w:t>
            </w:r>
          </w:p>
        </w:tc>
      </w:tr>
    </w:tbl>
    <w:p w:rsidR="004E3524" w:rsidRPr="0045231D" w:rsidRDefault="004E3524" w:rsidP="00763E8B">
      <w:pPr>
        <w:spacing w:line="20" w:lineRule="exact"/>
      </w:pPr>
    </w:p>
    <w:p w:rsidR="004E3524" w:rsidRDefault="004E3524" w:rsidP="00763E8B">
      <w:pPr>
        <w:spacing w:line="20" w:lineRule="exact"/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851"/>
      </w:tblGrid>
      <w:tr w:rsidR="004E3524" w:rsidTr="00BF4EF9">
        <w:trPr>
          <w:trHeight w:val="20"/>
        </w:trPr>
        <w:tc>
          <w:tcPr>
            <w:tcW w:w="10078" w:type="dxa"/>
            <w:gridSpan w:val="2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（二）公用设施</w:t>
            </w:r>
          </w:p>
        </w:tc>
      </w:tr>
      <w:tr w:rsidR="004E3524" w:rsidTr="00DF12D8">
        <w:trPr>
          <w:trHeight w:hRule="exact" w:val="431"/>
        </w:trPr>
        <w:tc>
          <w:tcPr>
            <w:tcW w:w="3227" w:type="dxa"/>
            <w:vAlign w:val="center"/>
          </w:tcPr>
          <w:p w:rsidR="004E3524" w:rsidRDefault="004E3524" w:rsidP="00763E8B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临街公厕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（对外开放）</w:t>
            </w:r>
          </w:p>
        </w:tc>
        <w:tc>
          <w:tcPr>
            <w:tcW w:w="6851" w:type="dxa"/>
            <w:vAlign w:val="center"/>
          </w:tcPr>
          <w:p w:rsidR="004E3524" w:rsidRDefault="004E3524" w:rsidP="003E293E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建筑面积不小于</w:t>
            </w:r>
            <w:r w:rsidR="003E293E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平方米</w:t>
            </w:r>
          </w:p>
        </w:tc>
      </w:tr>
      <w:tr w:rsidR="00822E3B" w:rsidTr="00DF12D8">
        <w:trPr>
          <w:trHeight w:hRule="exact" w:val="431"/>
        </w:trPr>
        <w:tc>
          <w:tcPr>
            <w:tcW w:w="3227" w:type="dxa"/>
            <w:vAlign w:val="center"/>
          </w:tcPr>
          <w:p w:rsidR="00822E3B" w:rsidRDefault="001F7FA3" w:rsidP="00763E8B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变电用房</w:t>
            </w:r>
          </w:p>
        </w:tc>
        <w:tc>
          <w:tcPr>
            <w:tcW w:w="6851" w:type="dxa"/>
            <w:vAlign w:val="center"/>
          </w:tcPr>
          <w:p w:rsidR="00822E3B" w:rsidRDefault="00822E3B" w:rsidP="00CF11F3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按用电量设置变电用房，并经电力部门确认</w:t>
            </w:r>
          </w:p>
        </w:tc>
      </w:tr>
      <w:tr w:rsidR="004E3524" w:rsidTr="00BF4EF9">
        <w:trPr>
          <w:trHeight w:val="20"/>
        </w:trPr>
        <w:tc>
          <w:tcPr>
            <w:tcW w:w="10078" w:type="dxa"/>
            <w:gridSpan w:val="2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（三）其他要求</w:t>
            </w:r>
          </w:p>
        </w:tc>
      </w:tr>
      <w:tr w:rsidR="004E3524" w:rsidTr="001A7210">
        <w:trPr>
          <w:trHeight w:hRule="exact" w:val="425"/>
        </w:trPr>
        <w:tc>
          <w:tcPr>
            <w:tcW w:w="10078" w:type="dxa"/>
            <w:gridSpan w:val="2"/>
            <w:vAlign w:val="center"/>
          </w:tcPr>
          <w:p w:rsidR="004E3524" w:rsidRPr="003E293E" w:rsidRDefault="004E3524" w:rsidP="003E293E">
            <w:pPr>
              <w:tabs>
                <w:tab w:val="left" w:pos="312"/>
              </w:tabs>
              <w:snapToGrid w:val="0"/>
              <w:spacing w:line="320" w:lineRule="exact"/>
              <w:ind w:rightChars="10" w:right="21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其他配套设施须按各相关规范要求设置</w:t>
            </w:r>
            <w:r w:rsidR="003E293E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.</w:t>
            </w:r>
          </w:p>
        </w:tc>
      </w:tr>
    </w:tbl>
    <w:p w:rsidR="004E3524" w:rsidRDefault="005C10C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t>六</w:t>
      </w:r>
      <w:r w:rsidR="004E3524">
        <w:rPr>
          <w:rFonts w:ascii="黑体" w:eastAsia="黑体" w:hAnsi="黑体" w:cs="黑体" w:hint="eastAsia"/>
          <w:b/>
          <w:sz w:val="27"/>
          <w:szCs w:val="27"/>
        </w:rPr>
        <w:t>、其他事项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1"/>
      </w:tblGrid>
      <w:tr w:rsidR="004E3524" w:rsidTr="000443AA">
        <w:trPr>
          <w:trHeight w:val="3572"/>
        </w:trPr>
        <w:tc>
          <w:tcPr>
            <w:tcW w:w="10081" w:type="dxa"/>
            <w:vAlign w:val="center"/>
          </w:tcPr>
          <w:p w:rsidR="0045231D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1</w:t>
            </w:r>
            <w:r w:rsidR="0045231D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.规划及建筑方案如涉及文物、消防、人防、环保、卫生、防洪、排涝、电力、交通、地质灾害等问题，应符合各专项规划要求；</w:t>
            </w:r>
          </w:p>
          <w:p w:rsidR="008A2ADE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2.文本应有公共配套设施</w:t>
            </w:r>
            <w:r w:rsidR="0074114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专篇</w:t>
            </w: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；</w:t>
            </w:r>
          </w:p>
          <w:p w:rsidR="0045231D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3</w:t>
            </w:r>
            <w:r w:rsidR="0045231D">
              <w:rPr>
                <w:rFonts w:ascii="仿宋_GB2312" w:eastAsia="仿宋_GB2312" w:hint="eastAsia"/>
                <w:sz w:val="27"/>
                <w:szCs w:val="27"/>
              </w:rPr>
              <w:t>.总平面规划报审前请委托具有相应资质的</w:t>
            </w:r>
            <w:r w:rsidR="00763E8B">
              <w:rPr>
                <w:rFonts w:ascii="仿宋_GB2312" w:eastAsia="仿宋_GB2312" w:hint="eastAsia"/>
                <w:sz w:val="27"/>
                <w:szCs w:val="27"/>
              </w:rPr>
              <w:t>设计单位进行项目规划设计，规划设计文本应按相关规范要求制作编排</w:t>
            </w:r>
            <w:r w:rsidR="0045231D">
              <w:rPr>
                <w:rFonts w:ascii="仿宋_GB2312" w:eastAsia="仿宋_GB2312" w:hint="eastAsia"/>
                <w:sz w:val="27"/>
                <w:szCs w:val="27"/>
              </w:rPr>
              <w:t>；</w:t>
            </w:r>
          </w:p>
          <w:p w:rsidR="0045231D" w:rsidRPr="00341668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4</w:t>
            </w:r>
            <w:r w:rsidR="0045231D" w:rsidRPr="00341668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.</w:t>
            </w:r>
            <w:r w:rsidR="0045231D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项目须按</w:t>
            </w:r>
            <w:r w:rsidR="0045231D" w:rsidRPr="00341668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《贵港市市辖区5G移动通信基站专项布局规划（2019-2030）》、《建筑物通信基础设施建设规范》预留满足光纤入户、5G宏站、微站、室内分布</w:t>
            </w:r>
            <w:r w:rsidR="0045231D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系统、传输机房及管线等通信基础设施和智慧路灯、充电桩等安装空间；</w:t>
            </w:r>
          </w:p>
          <w:p w:rsidR="0045231D" w:rsidRPr="00961006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5</w:t>
            </w:r>
            <w:r w:rsidR="0045231D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.附图：</w:t>
            </w:r>
            <w:r w:rsidR="00656BCC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位置图、用地红线</w:t>
            </w:r>
            <w:r w:rsidR="0045231D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图</w:t>
            </w:r>
            <w:r w:rsidR="00656BCC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（项目编号：</w:t>
            </w:r>
            <w:r w:rsidR="009F2833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2024</w:t>
            </w:r>
            <w:r w:rsidR="00656BCC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-</w:t>
            </w:r>
            <w:r w:rsidR="009F2833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73</w:t>
            </w:r>
            <w:r w:rsidR="00656BCC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）</w:t>
            </w:r>
            <w:r w:rsidR="0045231D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；图文一体方为有效文件；</w:t>
            </w:r>
          </w:p>
          <w:p w:rsidR="005E0EFA" w:rsidRPr="005E0EFA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6</w:t>
            </w:r>
            <w:r w:rsidR="0045231D">
              <w:rPr>
                <w:rFonts w:ascii="仿宋_GB2312" w:eastAsia="仿宋_GB2312" w:hint="eastAsia"/>
                <w:sz w:val="27"/>
                <w:szCs w:val="27"/>
              </w:rPr>
              <w:t>.</w:t>
            </w:r>
            <w:r w:rsidR="0045231D">
              <w:rPr>
                <w:rFonts w:eastAsia="仿宋_GB2312" w:hint="eastAsia"/>
                <w:sz w:val="27"/>
                <w:szCs w:val="27"/>
              </w:rPr>
              <w:t>本规划设计要点通知单自出具之日起，</w:t>
            </w:r>
            <w:r>
              <w:rPr>
                <w:rFonts w:eastAsia="仿宋_GB2312" w:hint="eastAsia"/>
                <w:sz w:val="27"/>
                <w:szCs w:val="27"/>
              </w:rPr>
              <w:t>片区控规未改变情况下，</w:t>
            </w:r>
            <w:r w:rsidR="0045231D">
              <w:rPr>
                <w:rFonts w:eastAsia="仿宋_GB2312" w:hint="eastAsia"/>
                <w:sz w:val="27"/>
                <w:szCs w:val="27"/>
              </w:rPr>
              <w:t>土地供应前有效期为三年，土地供应后有效期与土地供应文件有效期一致</w:t>
            </w:r>
            <w:r w:rsidR="00915F36">
              <w:rPr>
                <w:rFonts w:eastAsia="仿宋_GB2312" w:hint="eastAsia"/>
                <w:sz w:val="27"/>
                <w:szCs w:val="27"/>
              </w:rPr>
              <w:t>。</w:t>
            </w:r>
            <w:r w:rsidR="00F65E2F">
              <w:rPr>
                <w:rFonts w:ascii="仿宋_GB2312" w:eastAsia="仿宋_GB2312" w:hint="eastAsia"/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:rsidR="00202530" w:rsidRDefault="00202530" w:rsidP="000110C6">
      <w:pPr>
        <w:tabs>
          <w:tab w:val="left" w:pos="14520"/>
        </w:tabs>
        <w:snapToGrid w:val="0"/>
        <w:spacing w:line="400" w:lineRule="exact"/>
        <w:ind w:right="-40" w:firstLineChars="2400" w:firstLine="6480"/>
        <w:rPr>
          <w:rFonts w:ascii="仿宋_GB2312" w:eastAsia="仿宋_GB2312" w:hAnsi="仿宋_GB2312" w:cs="仿宋_GB2312"/>
          <w:sz w:val="27"/>
          <w:szCs w:val="27"/>
        </w:rPr>
      </w:pPr>
    </w:p>
    <w:p w:rsidR="00202530" w:rsidRDefault="00202530" w:rsidP="000110C6">
      <w:pPr>
        <w:tabs>
          <w:tab w:val="left" w:pos="14520"/>
        </w:tabs>
        <w:snapToGrid w:val="0"/>
        <w:spacing w:line="400" w:lineRule="exact"/>
        <w:ind w:right="-40" w:firstLineChars="2400" w:firstLine="6480"/>
        <w:rPr>
          <w:rFonts w:ascii="仿宋_GB2312" w:eastAsia="仿宋_GB2312" w:hAnsi="仿宋_GB2312" w:cs="仿宋_GB2312"/>
          <w:sz w:val="27"/>
          <w:szCs w:val="27"/>
        </w:rPr>
      </w:pPr>
    </w:p>
    <w:p w:rsidR="004E3524" w:rsidRDefault="008A2ADE" w:rsidP="000110C6">
      <w:pPr>
        <w:tabs>
          <w:tab w:val="left" w:pos="14520"/>
        </w:tabs>
        <w:snapToGrid w:val="0"/>
        <w:spacing w:line="400" w:lineRule="exact"/>
        <w:ind w:right="-40" w:firstLineChars="2400" w:firstLine="6480"/>
        <w:rPr>
          <w:rFonts w:ascii="仿宋_GB2312" w:eastAsia="仿宋_GB2312" w:hAnsi="仿宋_GB2312" w:cs="仿宋_GB2312"/>
          <w:sz w:val="27"/>
          <w:szCs w:val="27"/>
        </w:rPr>
      </w:pPr>
      <w:r>
        <w:rPr>
          <w:rFonts w:ascii="仿宋_GB2312" w:eastAsia="仿宋_GB2312" w:hAnsi="仿宋_GB2312" w:cs="仿宋_GB2312" w:hint="eastAsia"/>
          <w:sz w:val="27"/>
          <w:szCs w:val="27"/>
        </w:rPr>
        <w:t>桂平</w:t>
      </w:r>
      <w:r w:rsidR="004E3524">
        <w:rPr>
          <w:rFonts w:ascii="仿宋_GB2312" w:eastAsia="仿宋_GB2312" w:hAnsi="仿宋_GB2312" w:cs="仿宋_GB2312" w:hint="eastAsia"/>
          <w:sz w:val="27"/>
          <w:szCs w:val="27"/>
        </w:rPr>
        <w:t xml:space="preserve">市自然资源局                </w:t>
      </w:r>
    </w:p>
    <w:p w:rsidR="004E3524" w:rsidRDefault="002219ED" w:rsidP="000110C6">
      <w:pPr>
        <w:tabs>
          <w:tab w:val="left" w:pos="14520"/>
        </w:tabs>
        <w:snapToGrid w:val="0"/>
        <w:spacing w:line="400" w:lineRule="exact"/>
        <w:ind w:right="-40" w:firstLineChars="2600" w:firstLine="7020"/>
        <w:rPr>
          <w:rFonts w:eastAsia="仿宋_GB2312"/>
          <w:sz w:val="12"/>
          <w:szCs w:val="12"/>
        </w:rPr>
      </w:pPr>
      <w:r>
        <w:rPr>
          <w:rFonts w:ascii="仿宋_GB2312" w:eastAsia="仿宋_GB2312" w:hAnsi="仿宋_GB2312" w:cs="仿宋_GB2312" w:hint="eastAsia"/>
          <w:sz w:val="27"/>
          <w:szCs w:val="27"/>
        </w:rPr>
        <w:t>202</w:t>
      </w:r>
      <w:r w:rsidR="009F2833">
        <w:rPr>
          <w:rFonts w:ascii="仿宋_GB2312" w:eastAsia="仿宋_GB2312" w:hAnsi="仿宋_GB2312" w:cs="仿宋_GB2312" w:hint="eastAsia"/>
          <w:sz w:val="27"/>
          <w:szCs w:val="27"/>
        </w:rPr>
        <w:t>4</w:t>
      </w:r>
      <w:r w:rsidR="004E3524">
        <w:rPr>
          <w:rFonts w:ascii="仿宋_GB2312" w:eastAsia="仿宋_GB2312" w:hAnsi="仿宋_GB2312" w:cs="仿宋_GB2312" w:hint="eastAsia"/>
          <w:sz w:val="27"/>
          <w:szCs w:val="27"/>
        </w:rPr>
        <w:t>年</w:t>
      </w:r>
      <w:r w:rsidR="00A26692">
        <w:rPr>
          <w:rFonts w:ascii="仿宋_GB2312" w:eastAsia="仿宋_GB2312" w:hAnsi="仿宋_GB2312" w:cs="仿宋_GB2312" w:hint="eastAsia"/>
          <w:sz w:val="27"/>
          <w:szCs w:val="27"/>
        </w:rPr>
        <w:t>5</w:t>
      </w:r>
      <w:r w:rsidR="004E3524">
        <w:rPr>
          <w:rFonts w:ascii="仿宋_GB2312" w:eastAsia="仿宋_GB2312" w:hAnsi="仿宋_GB2312" w:cs="仿宋_GB2312" w:hint="eastAsia"/>
          <w:sz w:val="27"/>
          <w:szCs w:val="27"/>
        </w:rPr>
        <w:t>月</w:t>
      </w:r>
      <w:r w:rsidR="00A26692">
        <w:rPr>
          <w:rFonts w:ascii="仿宋_GB2312" w:eastAsia="仿宋_GB2312" w:hAnsi="仿宋_GB2312" w:cs="仿宋_GB2312" w:hint="eastAsia"/>
          <w:sz w:val="27"/>
          <w:szCs w:val="27"/>
        </w:rPr>
        <w:t>13</w:t>
      </w:r>
      <w:r w:rsidR="004E3524">
        <w:rPr>
          <w:rFonts w:ascii="仿宋_GB2312" w:eastAsia="仿宋_GB2312" w:hAnsi="仿宋_GB2312" w:cs="仿宋_GB2312" w:hint="eastAsia"/>
          <w:sz w:val="27"/>
          <w:szCs w:val="27"/>
        </w:rPr>
        <w:t>日</w:t>
      </w:r>
    </w:p>
    <w:sectPr w:rsidR="004E3524" w:rsidSect="00E20851">
      <w:headerReference w:type="default" r:id="rId7"/>
      <w:pgSz w:w="11906" w:h="16838"/>
      <w:pgMar w:top="454" w:right="964" w:bottom="39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AFE" w:rsidRDefault="00F13AFE">
      <w:r>
        <w:separator/>
      </w:r>
    </w:p>
  </w:endnote>
  <w:endnote w:type="continuationSeparator" w:id="1">
    <w:p w:rsidR="00F13AFE" w:rsidRDefault="00F1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AFE" w:rsidRDefault="00F13AFE">
      <w:r>
        <w:separator/>
      </w:r>
    </w:p>
  </w:footnote>
  <w:footnote w:type="continuationSeparator" w:id="1">
    <w:p w:rsidR="00F13AFE" w:rsidRDefault="00F13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4E352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C3748E"/>
    <w:multiLevelType w:val="singleLevel"/>
    <w:tmpl w:val="F5C3748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11B9B"/>
    <w:rPr>
      <w:color w:val="0000FF"/>
      <w:u w:val="single"/>
    </w:rPr>
  </w:style>
  <w:style w:type="character" w:customStyle="1" w:styleId="Char">
    <w:name w:val="页眉 Char"/>
    <w:link w:val="a4"/>
    <w:rsid w:val="00111B9B"/>
    <w:rPr>
      <w:kern w:val="2"/>
      <w:sz w:val="18"/>
      <w:szCs w:val="18"/>
    </w:rPr>
  </w:style>
  <w:style w:type="character" w:customStyle="1" w:styleId="Char0">
    <w:name w:val="页脚 Char"/>
    <w:link w:val="a5"/>
    <w:rsid w:val="00111B9B"/>
    <w:rPr>
      <w:kern w:val="2"/>
      <w:sz w:val="18"/>
      <w:szCs w:val="18"/>
    </w:rPr>
  </w:style>
  <w:style w:type="paragraph" w:styleId="a4">
    <w:name w:val="header"/>
    <w:basedOn w:val="a"/>
    <w:link w:val="Char"/>
    <w:rsid w:val="0011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11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11B9B"/>
    <w:rPr>
      <w:sz w:val="18"/>
      <w:szCs w:val="18"/>
    </w:rPr>
  </w:style>
  <w:style w:type="table" w:styleId="a7">
    <w:name w:val="Table Grid"/>
    <w:basedOn w:val="a1"/>
    <w:rsid w:val="00111B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142</Words>
  <Characters>815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 China</Company>
  <LinksUpToDate>false</LinksUpToDate>
  <CharactersWithSpaces>956</CharactersWithSpaces>
  <SharedDoc>false</SharedDoc>
  <HLinks>
    <vt:vector size="6" baseType="variant"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http://gg.dnr.gxzf.gov.cn/ghly/cxgh/t5508439.shtml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101</cp:revision>
  <cp:lastPrinted>2022-07-25T09:01:00Z</cp:lastPrinted>
  <dcterms:created xsi:type="dcterms:W3CDTF">2022-05-18T00:34:00Z</dcterms:created>
  <dcterms:modified xsi:type="dcterms:W3CDTF">2024-06-17T07:51:00Z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