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ind w:right="601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附件：</w:t>
      </w:r>
    </w:p>
    <w:p>
      <w:pPr>
        <w:spacing w:line="460" w:lineRule="exact"/>
        <w:ind w:right="601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right="601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2023</w:t>
      </w:r>
      <w:r>
        <w:rPr>
          <w:rFonts w:ascii="Times New Roman" w:hAnsi="黑体" w:eastAsia="黑体"/>
          <w:bCs/>
          <w:sz w:val="36"/>
          <w:szCs w:val="36"/>
        </w:rPr>
        <w:t>年南宁市预拌混凝土生产企业</w:t>
      </w:r>
    </w:p>
    <w:p>
      <w:pPr>
        <w:spacing w:line="460" w:lineRule="exact"/>
        <w:ind w:right="601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黑体" w:eastAsia="黑体"/>
          <w:bCs/>
          <w:sz w:val="36"/>
          <w:szCs w:val="36"/>
        </w:rPr>
        <w:t>信用考核评价等级</w:t>
      </w:r>
    </w:p>
    <w:p>
      <w:pPr>
        <w:spacing w:line="460" w:lineRule="exact"/>
        <w:ind w:right="601"/>
        <w:jc w:val="center"/>
        <w:rPr>
          <w:rFonts w:hint="eastAsia"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（有效期为发布之日起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年）</w:t>
      </w:r>
    </w:p>
    <w:p>
      <w:pPr>
        <w:spacing w:line="460" w:lineRule="exact"/>
        <w:ind w:right="601"/>
        <w:jc w:val="center"/>
        <w:rPr>
          <w:rFonts w:ascii="Times New Roman" w:hAnsi="Times New Roman" w:eastAsia="仿宋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386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Style w:val="9"/>
                <w:rFonts w:hint="default" w:ascii="Times New Roman" w:hAnsi="黑体" w:eastAsia="黑体" w:cs="Times New Roman"/>
              </w:rPr>
              <w:t>排序</w:t>
            </w:r>
          </w:p>
        </w:tc>
        <w:tc>
          <w:tcPr>
            <w:tcW w:w="2954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Style w:val="9"/>
                <w:rFonts w:hint="default" w:ascii="Times New Roman" w:hAnsi="黑体" w:eastAsia="黑体" w:cs="Times New Roman"/>
              </w:rPr>
              <w:t>公司名称</w:t>
            </w:r>
          </w:p>
        </w:tc>
        <w:tc>
          <w:tcPr>
            <w:tcW w:w="135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Style w:val="9"/>
                <w:rFonts w:hint="default" w:ascii="Times New Roman" w:hAnsi="黑体" w:eastAsia="黑体" w:cs="Times New Roman"/>
              </w:rPr>
              <w:t>信用考核评价等级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广西大都混凝土集团有限公司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南宁腾宁商品混凝土有限公司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广西华宏屯里混凝土有限公司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广西盛达混凝土有限公司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南宁中建西部建设有限公司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广西建城水泥制品有限公司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广西建宏水泥制品有限公司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广西金航通混凝土有限公司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广西南宁嘉泰水泥制品有限公司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南宁市嘉大混凝土有限公司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广西威明混凝土有限公司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广西武侨大都混凝土有限公司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广西金汇通混凝土有限公司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广西华宏沙井混凝土有限公司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广西盛东混凝土有限公司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广西中建西部建设有限公司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广西华宏混凝土有限公司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广西鼎盛混凝土有限公司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4"/>
              </w:rPr>
              <w:t>南宁市嘉旺水泥制品有限公司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华润混凝土（南宁）有限公司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广西泽涛建材科技有限公司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广西金洪混凝土有限公司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南宁华润西乡塘混凝土有限公司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广西恒日混凝土有限公司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广西旅发铁建商品混凝土有限公司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南宁同达盛混凝土有限公司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广西果木森建材有限公司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广西盛鸿混凝土有限公司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南宁兴典混凝土有限责任公司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广西长荣混凝土有限责任公司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广西桂雅香混凝土有限公司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广西东林尧它建材科技有限公司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广西三潮预拌混凝土有限公司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广西桂威商品混凝土有限公司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南宁市华腾混凝土有限公司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华润混凝土（广西）有限公司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上林县林燃建工材料有限公司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南宁华润良庆混凝土有限公司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广西华润红水河水泥有限公司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广西伊岭大都混凝土有限公司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南宁市武鸣鑫华建材有限公司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广西福基混凝土有限公司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南宁市华远建材有限公司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广西盛天水泥制品有限公司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广西广兴混凝土有限公司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华润智筑科技（南宁）有限公司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广西善建者建材科技有限公司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宾阳县建丰混凝土有限公司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广西嘉信混凝土有限公司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广西御华混凝土有限责任公司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华润混凝土（宾阳）有限公司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广西北投大正混凝土有限公司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南宁市宏建混凝土有限公司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广西金汇隆混凝土有限公司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广西宾阳县建华混凝土有限公司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南宁银都混凝土有限公司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广西横县桂威商品混凝土有限公司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南宁市富裕达混凝土有限公司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广西凯腾混凝土有限公司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广西通锐柏娇混凝土有限公司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广西华风混凝土有限公司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广西宇鑫混凝土有限公司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隆安县大伟混凝土有限公司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广西明锐建筑材料有限公司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2954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0"/>
                <w:rFonts w:hint="default" w:ascii="Times New Roman" w:cs="Times New Roman"/>
              </w:rPr>
              <w:t>广西隆兴远大新型建材有限公司</w:t>
            </w:r>
          </w:p>
        </w:tc>
        <w:tc>
          <w:tcPr>
            <w:tcW w:w="1353" w:type="pct"/>
            <w:shd w:val="clear" w:color="auto" w:fill="auto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Style w:val="11"/>
              </w:rPr>
              <w:t>A</w:t>
            </w:r>
          </w:p>
        </w:tc>
      </w:tr>
    </w:tbl>
    <w:p>
      <w:pPr>
        <w:jc w:val="left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mJmNTkzODNjYTcxYzQ5ZmRhOWJkODZiMWRmNTIifQ=="/>
  </w:docVars>
  <w:rsids>
    <w:rsidRoot w:val="326E35A6"/>
    <w:rsid w:val="000032B1"/>
    <w:rsid w:val="00062037"/>
    <w:rsid w:val="001A4DEC"/>
    <w:rsid w:val="001F7CF0"/>
    <w:rsid w:val="00223DED"/>
    <w:rsid w:val="002D2F7B"/>
    <w:rsid w:val="00376A98"/>
    <w:rsid w:val="003A7097"/>
    <w:rsid w:val="003B06D9"/>
    <w:rsid w:val="003E38EC"/>
    <w:rsid w:val="005F4C94"/>
    <w:rsid w:val="006822CD"/>
    <w:rsid w:val="006A0664"/>
    <w:rsid w:val="007032C0"/>
    <w:rsid w:val="00790334"/>
    <w:rsid w:val="00794FA5"/>
    <w:rsid w:val="007B513D"/>
    <w:rsid w:val="00823649"/>
    <w:rsid w:val="008424D0"/>
    <w:rsid w:val="008F4C16"/>
    <w:rsid w:val="0090486F"/>
    <w:rsid w:val="00916BBA"/>
    <w:rsid w:val="009C7983"/>
    <w:rsid w:val="00B821E7"/>
    <w:rsid w:val="00BD1D5E"/>
    <w:rsid w:val="00C35F67"/>
    <w:rsid w:val="00C62152"/>
    <w:rsid w:val="00CF44A7"/>
    <w:rsid w:val="00E4678B"/>
    <w:rsid w:val="00E80880"/>
    <w:rsid w:val="00E9603F"/>
    <w:rsid w:val="00EF2982"/>
    <w:rsid w:val="00EF71CD"/>
    <w:rsid w:val="00F058D8"/>
    <w:rsid w:val="00F96CAA"/>
    <w:rsid w:val="023B0973"/>
    <w:rsid w:val="07FF0F5F"/>
    <w:rsid w:val="0B146EBD"/>
    <w:rsid w:val="132A450C"/>
    <w:rsid w:val="13541895"/>
    <w:rsid w:val="15CE592F"/>
    <w:rsid w:val="1B10645D"/>
    <w:rsid w:val="1E162569"/>
    <w:rsid w:val="1FDB75E8"/>
    <w:rsid w:val="309537C1"/>
    <w:rsid w:val="326E35A6"/>
    <w:rsid w:val="33D201D6"/>
    <w:rsid w:val="38D26C34"/>
    <w:rsid w:val="3AC151B3"/>
    <w:rsid w:val="3C0F1981"/>
    <w:rsid w:val="40680B92"/>
    <w:rsid w:val="42973B71"/>
    <w:rsid w:val="518E5997"/>
    <w:rsid w:val="579B705F"/>
    <w:rsid w:val="5A9A270B"/>
    <w:rsid w:val="5DD45079"/>
    <w:rsid w:val="62D90A3C"/>
    <w:rsid w:val="6B0F5943"/>
    <w:rsid w:val="6E0A05E3"/>
    <w:rsid w:val="705F00AE"/>
    <w:rsid w:val="746745E0"/>
    <w:rsid w:val="79A8143C"/>
    <w:rsid w:val="7CB11F92"/>
    <w:rsid w:val="7FD80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1383</Characters>
  <Lines>11</Lines>
  <Paragraphs>3</Paragraphs>
  <TotalTime>30</TotalTime>
  <ScaleCrop>false</ScaleCrop>
  <LinksUpToDate>false</LinksUpToDate>
  <CharactersWithSpaces>1622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2021-08-13T07:35:00Z</dcterms:created>
  <dc:creator>ASUS</dc:creator>
  <cp:lastModifiedBy>Amyvvv</cp:lastModifiedBy>
  <cp:lastPrinted>2023-12-22T10:10:00Z</cp:lastPrinted>
  <dcterms:modified xsi:type="dcterms:W3CDTF">2023-12-25T10:10:13Z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B47B525BD713452EB57AFBCF5CE8FE89_13</vt:lpwstr>
  </property>
</Properties>
</file>