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keepNext w:val="0"/>
        <w:keepLines w:val="0"/>
        <w:pageBreakBefore w:val="0"/>
        <w:widowControl w:val="0"/>
        <w:numPr>
          <w:ilvl w:val="0"/>
          <w:numId w:val="0"/>
        </w:numPr>
        <w:kinsoku/>
        <w:wordWrap/>
        <w:autoSpaceDE/>
        <w:autoSpaceDN/>
        <w:bidi w:val="0"/>
        <w:adjustRightInd/>
        <w:snapToGrid/>
        <w:spacing w:line="460" w:lineRule="exact"/>
        <w:ind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平果市校园安全集中整治问题清单</w:t>
      </w:r>
    </w:p>
    <w:p>
      <w:pPr>
        <w:keepNext w:val="0"/>
        <w:keepLines w:val="0"/>
        <w:pageBreakBefore w:val="0"/>
        <w:widowControl w:val="0"/>
        <w:numPr>
          <w:ilvl w:val="0"/>
          <w:numId w:val="0"/>
        </w:numPr>
        <w:kinsoku/>
        <w:wordWrap/>
        <w:autoSpaceDE/>
        <w:autoSpaceDN/>
        <w:bidi w:val="0"/>
        <w:adjustRightInd/>
        <w:snapToGrid/>
        <w:spacing w:line="460" w:lineRule="exact"/>
        <w:ind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填报单位（盖章）</w:t>
      </w:r>
      <w:bookmarkStart w:id="0" w:name="_GoBack"/>
      <w:bookmarkEnd w:id="0"/>
      <w:r>
        <w:rPr>
          <w:rFonts w:hint="default" w:ascii="Times New Roman" w:hAnsi="Times New Roman" w:eastAsia="仿宋_GB2312" w:cs="Times New Roman"/>
          <w:sz w:val="32"/>
          <w:szCs w:val="32"/>
          <w:lang w:val="en-US" w:eastAsia="zh-CN"/>
        </w:rPr>
        <w:t>：               填报人：                           填报日期：</w:t>
      </w:r>
    </w:p>
    <w:tbl>
      <w:tblPr>
        <w:tblStyle w:val="6"/>
        <w:tblpPr w:leftFromText="180" w:rightFromText="180" w:vertAnchor="text" w:horzAnchor="page" w:tblpXSpec="center" w:tblpY="601"/>
        <w:tblOverlap w:val="never"/>
        <w:tblW w:w="15201" w:type="dxa"/>
        <w:jc w:val="center"/>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
      <w:tblGrid>
        <w:gridCol w:w="1328"/>
        <w:gridCol w:w="1517"/>
        <w:gridCol w:w="5859"/>
        <w:gridCol w:w="1482"/>
        <w:gridCol w:w="1377"/>
        <w:gridCol w:w="1388"/>
        <w:gridCol w:w="136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8704" w:type="dxa"/>
            <w:gridSpan w:val="3"/>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问题类型</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排查情况</w:t>
            </w: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整治措施</w:t>
            </w: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整治时限</w:t>
            </w: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整治结果</w:t>
            </w: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trHeight w:val="2487" w:hRule="atLeast"/>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一、校园及周边综合治理不到位问题</w:t>
            </w: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（一）专职保安员等配备不足。</w:t>
            </w:r>
          </w:p>
        </w:tc>
        <w:tc>
          <w:tcPr>
            <w:tcW w:w="5859" w:type="dxa"/>
            <w:noWrap w:val="0"/>
            <w:vAlign w:val="top"/>
          </w:tcPr>
          <w:p>
            <w:pPr>
              <w:keepNext w:val="0"/>
              <w:keepLines w:val="0"/>
              <w:pageBreakBefore w:val="0"/>
              <w:widowControl w:val="0"/>
              <w:numPr>
                <w:ilvl w:val="0"/>
                <w:numId w:val="0"/>
              </w:numPr>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1.专职保安员数量配备不足，没有取得保安员证。</w:t>
            </w:r>
          </w:p>
          <w:p>
            <w:pPr>
              <w:keepNext w:val="0"/>
              <w:keepLines w:val="0"/>
              <w:pageBreakBefore w:val="0"/>
              <w:widowControl w:val="0"/>
              <w:numPr>
                <w:ilvl w:val="0"/>
                <w:numId w:val="0"/>
              </w:numPr>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2.安全保卫人员没有落实校园安全管理制度，没有对重点部位和区域、学生宿舍等进行巡查并记录。</w:t>
            </w:r>
          </w:p>
          <w:p>
            <w:pPr>
              <w:keepNext w:val="0"/>
              <w:keepLines w:val="0"/>
              <w:pageBreakBefore w:val="0"/>
              <w:widowControl w:val="0"/>
              <w:numPr>
                <w:ilvl w:val="0"/>
                <w:numId w:val="0"/>
              </w:numPr>
              <w:kinsoku/>
              <w:wordWrap/>
              <w:autoSpaceDE/>
              <w:autoSpaceDN/>
              <w:bidi w:val="0"/>
              <w:adjustRightInd/>
              <w:snapToGrid/>
              <w:spacing w:line="460" w:lineRule="exact"/>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sz w:val="28"/>
                <w:szCs w:val="28"/>
                <w:vertAlign w:val="baseline"/>
                <w:lang w:val="en-US" w:eastAsia="zh-CN"/>
              </w:rPr>
              <w:t>3.防卫器械配备不足，没有持械上岗。</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 w:eastAsia="zh-CN"/>
              </w:rPr>
            </w:pPr>
            <w:r>
              <w:rPr>
                <w:rFonts w:hint="default" w:ascii="Times New Roman" w:hAnsi="Times New Roman" w:eastAsia="仿宋_GB2312" w:cs="Times New Roman"/>
                <w:sz w:val="28"/>
                <w:szCs w:val="28"/>
                <w:vertAlign w:val="baseline"/>
                <w:lang w:val="en-US" w:eastAsia="zh-CN"/>
              </w:rPr>
              <w:t>（二）校园封闭管理问题。</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1.校园围墙缺失，高度不足2米，栅栏式围墙没有加设防攀爬装置，没有门卫室。</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2.没有落实进出校园人员、车辆核查和信息登记制度，校外无关人员或者教职员工和学生携带管制刀具、易燃易爆等进入校园伤害学生。</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3.学生在校时间段偷溜或者爬围墙外出。</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trHeight w:val="90" w:hRule="atLeast"/>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（三）技防建设不达标。</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1.视频监控系统没有覆盖学校出入口、周界、门卫室、校外人员集中活动区域、教学区域和学生宿舍楼的出入通道和出入口等，没有与公安机关联网，存储时间不达标，没有安排人员监控及时发现紧急特殊情况。</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2.一键式报警系统损坏，或者试按后接通不了，公安部门没有及时出警处置。</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 w:eastAsia="zh-CN"/>
              </w:rPr>
            </w:pPr>
            <w:r>
              <w:rPr>
                <w:rFonts w:hint="default" w:ascii="Times New Roman" w:hAnsi="Times New Roman" w:eastAsia="仿宋_GB2312" w:cs="Times New Roman"/>
                <w:sz w:val="28"/>
                <w:szCs w:val="28"/>
                <w:vertAlign w:val="baseline"/>
                <w:lang w:val="en-US" w:eastAsia="zh-CN"/>
              </w:rPr>
              <w:t>3</w:t>
            </w:r>
            <w:r>
              <w:rPr>
                <w:rFonts w:hint="default" w:ascii="Times New Roman" w:hAnsi="Times New Roman" w:eastAsia="仿宋_GB2312" w:cs="Times New Roman"/>
                <w:sz w:val="28"/>
                <w:szCs w:val="28"/>
                <w:vertAlign w:val="baseline"/>
                <w:lang w:val="en" w:eastAsia="zh-CN"/>
              </w:rPr>
              <w:t>.没有探索开展校园智慧安防建设。</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（四）“护学岗”机制没有落实。</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1.公安机关没有落实护学人员。</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2.公安机关没有组织发动群防群治力量。</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3.上下学期间，校园周边违规停放车辆，秩序混乱。</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（五）常态化治理不到位。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1.市场监管、公安、文化和旅游、政法等部门没有对校园周边“小饭桌”、商业摊点、娱乐场所、网吧、宾馆、酒店和“剧本杀”“密室逃脱”等经营场所进行规范整治。校门外100米范围内有“三无”流动摊贩。</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2.没有及时查处影响未成年人身心健康的食品、文具、玩具、读物、游戏等。</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3.对学校宿舍、食堂、实验室、图书馆和锅炉房等重点场所排查不到位。</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4.公安机关没有依法从严从重从快严厉打击校外人员侵害师生的暴力行为。</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 w:eastAsia="zh-CN"/>
              </w:rPr>
            </w:pPr>
            <w:r>
              <w:rPr>
                <w:rFonts w:hint="default" w:ascii="Times New Roman" w:hAnsi="Times New Roman" w:eastAsia="仿宋_GB2312" w:cs="Times New Roman"/>
                <w:sz w:val="28"/>
                <w:szCs w:val="28"/>
                <w:vertAlign w:val="baseline"/>
                <w:lang w:val="en" w:eastAsia="zh-CN"/>
              </w:rPr>
              <w:t>5.没有公布校园欺凌和侵害未成年人线索举报方式，接收校园欺凌和侵害未成年人问题线索。</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二、学生伤害事件防范不到位问题</w:t>
            </w: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（一）涉校涉生矛盾纠纷排查化解不到位。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1.学校没有每个月开展一次教职员工和学生矛盾纠纷排查化解工作，并做好记录。</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2.学校对教职员工和学生反馈的矛盾纠纷，没有及时依法稳妥处置。</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3.矛盾纠纷化解不及时，引发网络舆情。</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（二）重点人员管控不到位。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1.各地社会面九类重点管控人员没有排查到位，并落实管控措施。</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2.各地社会面五类纠纷没有排查到位，并落实管控措施。</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3.社会层面重点管控人员、纠纷没有及时通报教育行政部门及学校，提醒做好防范。</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trHeight w:val="2297" w:hRule="atLeast"/>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（三）欺凌和暴力行为责任没有压实。</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1.没有落实防治学生欺凌工作协调机制，教育管理培训、调查处置、申诉请求处理、惩戒、考评、问责等体系没有建立。</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2.每月没有组织学生填写欺凌调查问卷，对校园“小霸王”排查摸底，登记造册。</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3.对日常具有吸烟、喝酒、逃课、夜不归宿、网瘾、打架斗殴、拉帮结派、强拿硬要或者非法携带管制刀具等具有不良行为和严重不良行为学生帮助、预防、干预、矫治、训诫、送专门学校教育等不到位。</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4.对可能被欺凌学生的关心帮助不到位。</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5.对校园周边、上学生路途、酒店宾馆、网吧、奶茶店、公园等校外场所和学生宿舍、教学楼、厕所等校内场所排查管理不严。</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trHeight w:val="427" w:hRule="atLeast"/>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（四）</w:t>
            </w:r>
            <w:r>
              <w:rPr>
                <w:rFonts w:hint="default" w:ascii="Times New Roman" w:hAnsi="Times New Roman" w:eastAsia="仿宋_GB2312" w:cs="Times New Roman"/>
                <w:sz w:val="28"/>
                <w:szCs w:val="28"/>
                <w:vertAlign w:val="baseline"/>
                <w:lang w:val="en" w:eastAsia="zh-CN"/>
              </w:rPr>
              <w:t>预防性侵害工作落实不到位。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1.没有落实教职员工准入查询和从业禁止制度。</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2.没有普及预防性侵害知识和技能。</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3.没有落实侵害未成年人案件强制报告制度。</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4.没有落实预防性侵害学生学期排查调查制度。</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三、交通安全事故防范不到位问题。</w:t>
            </w: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（一）交通安全宣传教育普及性不够、针对性不强。</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1.监护人交通安全意识不强，使用非法运营车辆接送学生。</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2.学生违规骑乘自行车、电动车、摩托车，聚集飙车炫技。</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3.学校没有常态化开展交通安全应急演练。</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（二）道路交通安全执法管控不到位。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1.“一村一辅警”制度落实不到位。</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2.农村客运班车、面包车和货车、拖拉机、三轮车、电动车、摩托车等违法行为没有及时查处。</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3.农村道路交通安全“两站两员”没有实体化运行。</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（三）农村地区客运服务供给力度不够。</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1.没有提供定制公交服务，没有满足农村地区学生上下学、寄宿制学校学生集中返家返校用车需求。</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2.没有加强农村地区道路建设，安全防护设施设置不完善。</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3.没有智能化设置农村地区客运班线及站点。</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（四）《校车安全管理条例》落实不到位。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1.没有研究制定并落实校车服务方案。</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2.没有建立校车安全管理联防联控机制。</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3.没有落实校车安全管理相关部门职责。</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4.没有落实校车安全运行管理制定。</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5.校车标牌办理困难，校车机动车安全技术检验困难。</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四、学生心理健康问题</w:t>
            </w:r>
          </w:p>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FF0000"/>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（一）心理健康教育源头管理不到位。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1.没有将心理健康教育课纳入校本课程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2.没有注重安排形式多样的生命教育、挫折教育等。</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3.没有强化家庭、学校、社会协同育人机制。</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FF0000"/>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（二）心理健康教育过程管理不到位。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1.没有“一校一案”制定心理健康教育专项工作方案。</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2.没有定期开展学生心理测评工作。</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3.没有在各类教师培训中，将心理健康教育作为必修内容予以重点安排。</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FF0000"/>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rPr>
              <w:t>（三）心理健康教育结果管理不到位。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1.学生出现自杀自伤、伤人毁物倾向等严重心理危机时，学校没有及时协助家长送医诊治。</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2.学生因心理问题在校发生意外事件后，学校没有立即启动应急工作预案。</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五、食品安全问题</w:t>
            </w:r>
          </w:p>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（一）学校食品安全主体责任落实不到位</w:t>
            </w:r>
          </w:p>
        </w:tc>
        <w:tc>
          <w:tcPr>
            <w:tcW w:w="5859" w:type="dxa"/>
            <w:noWrap w:val="0"/>
            <w:vAlign w:val="top"/>
          </w:tcPr>
          <w:p>
            <w:pPr>
              <w:keepNext w:val="0"/>
              <w:keepLines w:val="0"/>
              <w:pageBreakBefore w:val="0"/>
              <w:widowControl w:val="0"/>
              <w:numPr>
                <w:ilvl w:val="0"/>
                <w:numId w:val="0"/>
              </w:numPr>
              <w:kinsoku/>
              <w:wordWrap/>
              <w:overflowPunct w:val="0"/>
              <w:topLinePunct/>
              <w:autoSpaceDE/>
              <w:autoSpaceDN/>
              <w:bidi w:val="0"/>
              <w:adjustRightInd/>
              <w:snapToGrid/>
              <w:spacing w:line="460" w:lineRule="exact"/>
              <w:ind w:lef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1.没有严格落实学校相关负责人陪餐制度，陪餐记录流于形式。</w:t>
            </w:r>
          </w:p>
          <w:p>
            <w:pPr>
              <w:keepNext w:val="0"/>
              <w:keepLines w:val="0"/>
              <w:pageBreakBefore w:val="0"/>
              <w:widowControl w:val="0"/>
              <w:numPr>
                <w:ilvl w:val="0"/>
                <w:numId w:val="0"/>
              </w:numPr>
              <w:kinsoku/>
              <w:wordWrap/>
              <w:overflowPunct w:val="0"/>
              <w:topLinePunct/>
              <w:autoSpaceDE/>
              <w:autoSpaceDN/>
              <w:bidi w:val="0"/>
              <w:adjustRightInd/>
              <w:snapToGrid/>
              <w:spacing w:line="460" w:lineRule="exact"/>
              <w:ind w:lef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2.食品采购索票索证、登记和留样等操作不规范。</w:t>
            </w:r>
          </w:p>
          <w:p>
            <w:pPr>
              <w:keepNext w:val="0"/>
              <w:keepLines w:val="0"/>
              <w:pageBreakBefore w:val="0"/>
              <w:widowControl w:val="0"/>
              <w:numPr>
                <w:ilvl w:val="0"/>
                <w:numId w:val="0"/>
              </w:numPr>
              <w:kinsoku/>
              <w:wordWrap/>
              <w:overflowPunct w:val="0"/>
              <w:topLinePunct/>
              <w:autoSpaceDE/>
              <w:autoSpaceDN/>
              <w:bidi w:val="0"/>
              <w:adjustRightInd/>
              <w:snapToGrid/>
              <w:spacing w:line="460" w:lineRule="exact"/>
              <w:ind w:lef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3.食堂食材操作空间环境卫生较差。</w:t>
            </w:r>
          </w:p>
          <w:p>
            <w:pPr>
              <w:keepNext w:val="0"/>
              <w:keepLines w:val="0"/>
              <w:pageBreakBefore w:val="0"/>
              <w:widowControl w:val="0"/>
              <w:numPr>
                <w:ilvl w:val="0"/>
                <w:numId w:val="0"/>
              </w:numPr>
              <w:kinsoku/>
              <w:wordWrap/>
              <w:overflowPunct w:val="0"/>
              <w:topLinePunct/>
              <w:autoSpaceDE/>
              <w:autoSpaceDN/>
              <w:bidi w:val="0"/>
              <w:adjustRightInd/>
              <w:snapToGrid/>
              <w:spacing w:line="460" w:lineRule="exact"/>
              <w:ind w:lef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4.冷藏冷冻、加热保温、清洗消毒等设施设备没有正常运转。</w:t>
            </w:r>
          </w:p>
          <w:p>
            <w:pPr>
              <w:keepNext w:val="0"/>
              <w:keepLines w:val="0"/>
              <w:pageBreakBefore w:val="0"/>
              <w:widowControl w:val="0"/>
              <w:numPr>
                <w:ilvl w:val="0"/>
                <w:numId w:val="0"/>
              </w:numPr>
              <w:kinsoku/>
              <w:wordWrap/>
              <w:overflowPunct w:val="0"/>
              <w:topLinePunct/>
              <w:autoSpaceDE/>
              <w:autoSpaceDN/>
              <w:bidi w:val="0"/>
              <w:adjustRightInd/>
              <w:snapToGrid/>
              <w:spacing w:line="460" w:lineRule="exact"/>
              <w:ind w:lef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5.食堂工勤人员带病上岗。</w:t>
            </w:r>
          </w:p>
          <w:p>
            <w:pPr>
              <w:keepNext w:val="0"/>
              <w:keepLines w:val="0"/>
              <w:pageBreakBefore w:val="0"/>
              <w:widowControl w:val="0"/>
              <w:kinsoku/>
              <w:wordWrap/>
              <w:overflowPunct w:val="0"/>
              <w:topLinePunct/>
              <w:autoSpaceDE/>
              <w:autoSpaceDN/>
              <w:bidi w:val="0"/>
              <w:adjustRightInd/>
              <w:snapToGrid/>
              <w:spacing w:line="46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6.违规采购、使用未经检疫（验）或检疫（验）不合格、超过保质期、腐败变质的食材、食品添加剂及食品相关产品。</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7.未按要求</w:t>
            </w:r>
            <w:r>
              <w:rPr>
                <w:rFonts w:hint="default" w:ascii="Times New Roman" w:hAnsi="Times New Roman" w:eastAsia="仿宋_GB2312" w:cs="Times New Roman"/>
                <w:color w:val="auto"/>
                <w:sz w:val="28"/>
                <w:szCs w:val="28"/>
              </w:rPr>
              <w:t>做好供水设备特别是二次供水设备的清洁消毒及水质检测</w:t>
            </w:r>
            <w:r>
              <w:rPr>
                <w:rFonts w:hint="default" w:ascii="Times New Roman" w:hAnsi="Times New Roman" w:eastAsia="仿宋_GB2312" w:cs="Times New Roman"/>
                <w:color w:val="auto"/>
                <w:sz w:val="28"/>
                <w:szCs w:val="28"/>
                <w:lang w:eastAsia="zh-CN"/>
              </w:rPr>
              <w:t>工作。</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trHeight w:val="1478" w:hRule="atLeast"/>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（二）校园周边流动摊点食品安全隐患</w:t>
            </w:r>
          </w:p>
        </w:tc>
        <w:tc>
          <w:tcPr>
            <w:tcW w:w="5859" w:type="dxa"/>
            <w:noWrap w:val="0"/>
            <w:vAlign w:val="top"/>
          </w:tcPr>
          <w:p>
            <w:pPr>
              <w:keepNext w:val="0"/>
              <w:keepLines w:val="0"/>
              <w:pageBreakBefore w:val="0"/>
              <w:widowControl w:val="0"/>
              <w:numPr>
                <w:ilvl w:val="0"/>
                <w:numId w:val="1"/>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流动摊点“食品经营许可证”“从业人员健康证明”等证照不全。</w:t>
            </w:r>
          </w:p>
          <w:p>
            <w:pPr>
              <w:keepNext w:val="0"/>
              <w:keepLines w:val="0"/>
              <w:pageBreakBefore w:val="0"/>
              <w:widowControl w:val="0"/>
              <w:kinsoku/>
              <w:wordWrap/>
              <w:autoSpaceDE/>
              <w:autoSpaceDN/>
              <w:bidi w:val="0"/>
              <w:adjustRightInd/>
              <w:snapToGrid/>
              <w:spacing w:line="46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 w:eastAsia="zh-CN"/>
              </w:rPr>
              <w:t>2.</w:t>
            </w:r>
            <w:r>
              <w:rPr>
                <w:rFonts w:hint="default" w:ascii="Times New Roman" w:hAnsi="Times New Roman" w:eastAsia="仿宋_GB2312" w:cs="Times New Roman"/>
                <w:color w:val="auto"/>
                <w:sz w:val="28"/>
                <w:szCs w:val="28"/>
                <w:vertAlign w:val="baseline"/>
                <w:lang w:val="en-US" w:eastAsia="zh-CN"/>
              </w:rPr>
              <w:t>经营现场未采取防尘、防蝇等卫生防护措施。</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六、法治教育问题</w:t>
            </w:r>
          </w:p>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（一）学校法治教育不到位</w:t>
            </w:r>
          </w:p>
        </w:tc>
        <w:tc>
          <w:tcPr>
            <w:tcW w:w="5859" w:type="dxa"/>
            <w:noWrap w:val="0"/>
            <w:vAlign w:val="top"/>
          </w:tcPr>
          <w:p>
            <w:pPr>
              <w:keepNext w:val="0"/>
              <w:keepLines w:val="0"/>
              <w:pageBreakBefore w:val="0"/>
              <w:widowControl w:val="0"/>
              <w:numPr>
                <w:ilvl w:val="0"/>
                <w:numId w:val="2"/>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学校法治副校长不按要求配备，没有定期开设预防校园欺凌和暴力行为的专题法治教育课。                        </w:t>
            </w:r>
          </w:p>
          <w:p>
            <w:pPr>
              <w:keepNext w:val="0"/>
              <w:keepLines w:val="0"/>
              <w:pageBreakBefore w:val="0"/>
              <w:widowControl w:val="0"/>
              <w:numPr>
                <w:ilvl w:val="0"/>
                <w:numId w:val="2"/>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学校道德与法治课没有按课程标准开齐开足开好。                      </w:t>
            </w:r>
          </w:p>
          <w:p>
            <w:pPr>
              <w:keepNext w:val="0"/>
              <w:keepLines w:val="0"/>
              <w:pageBreakBefore w:val="0"/>
              <w:widowControl w:val="0"/>
              <w:numPr>
                <w:ilvl w:val="0"/>
                <w:numId w:val="0"/>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3.县级没有统筹安排道德与法治教师全员轮训的计划和年度培训安排。                             4.县级中小学校依法治校达标建设工作部署不到位，专项培训工作没有开展。</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（二）法治教育没有形成合力</w:t>
            </w:r>
          </w:p>
        </w:tc>
        <w:tc>
          <w:tcPr>
            <w:tcW w:w="5859" w:type="dxa"/>
            <w:noWrap w:val="0"/>
            <w:vAlign w:val="top"/>
          </w:tcPr>
          <w:p>
            <w:pPr>
              <w:keepNext w:val="0"/>
              <w:keepLines w:val="0"/>
              <w:pageBreakBefore w:val="0"/>
              <w:widowControl w:val="0"/>
              <w:numPr>
                <w:ilvl w:val="0"/>
                <w:numId w:val="0"/>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法院、检察院、公安、司法等部门，没有联合加强法治教育。</w:t>
            </w:r>
          </w:p>
          <w:p>
            <w:pPr>
              <w:keepNext w:val="0"/>
              <w:keepLines w:val="0"/>
              <w:pageBreakBefore w:val="0"/>
              <w:widowControl w:val="0"/>
              <w:numPr>
                <w:ilvl w:val="0"/>
                <w:numId w:val="0"/>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2.有的学生没有尊法守法习惯，被引诱、利用参与各类违法犯罪活动。</w:t>
            </w:r>
          </w:p>
          <w:p>
            <w:pPr>
              <w:keepNext w:val="0"/>
              <w:keepLines w:val="0"/>
              <w:pageBreakBefore w:val="0"/>
              <w:widowControl w:val="0"/>
              <w:numPr>
                <w:ilvl w:val="0"/>
                <w:numId w:val="0"/>
              </w:numPr>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3.没有建设专门学校，没有发挥作用。</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七、常规管理问题</w:t>
            </w:r>
          </w:p>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（一）宿舍管理不到位。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1.没有专职宿舍管理员</w:t>
            </w:r>
            <w:r>
              <w:rPr>
                <w:rFonts w:hint="default" w:ascii="Times New Roman" w:hAnsi="Times New Roman" w:eastAsia="仿宋_GB2312" w:cs="Times New Roman"/>
                <w:color w:val="auto"/>
                <w:sz w:val="28"/>
                <w:szCs w:val="28"/>
                <w:lang w:eastAsia="zh-CN"/>
              </w:rPr>
              <w:t>，或者</w:t>
            </w:r>
            <w:r>
              <w:rPr>
                <w:rFonts w:hint="default" w:ascii="Times New Roman" w:hAnsi="Times New Roman" w:eastAsia="仿宋_GB2312" w:cs="Times New Roman"/>
                <w:color w:val="auto"/>
                <w:sz w:val="28"/>
                <w:szCs w:val="28"/>
              </w:rPr>
              <w:t>职责不明确</w:t>
            </w:r>
            <w:r>
              <w:rPr>
                <w:rFonts w:hint="default" w:ascii="Times New Roman" w:hAnsi="Times New Roman" w:eastAsia="仿宋_GB2312" w:cs="Times New Roman"/>
                <w:color w:val="auto"/>
                <w:sz w:val="28"/>
                <w:szCs w:val="28"/>
                <w:lang w:eastAsia="zh-CN"/>
              </w:rPr>
              <w:t>，作用不明显</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.学校没有完善门卫值班制度和巡逻制度。</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.寄宿制学校没有建立健全学生宿舍的值班、会客、安全等管理制度。</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.没有对寄宿学生实行晚点名和定时查铺。</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rPr>
              <w:t>（二）学校</w:t>
            </w:r>
            <w:r>
              <w:rPr>
                <w:rFonts w:hint="default" w:ascii="Times New Roman" w:hAnsi="Times New Roman" w:eastAsia="仿宋_GB2312" w:cs="Times New Roman"/>
                <w:color w:val="auto"/>
                <w:sz w:val="28"/>
                <w:szCs w:val="28"/>
                <w:highlight w:val="none"/>
                <w:lang w:eastAsia="zh-CN"/>
              </w:rPr>
              <w:t>服务保障</w:t>
            </w:r>
            <w:r>
              <w:rPr>
                <w:rFonts w:hint="default" w:ascii="Times New Roman" w:hAnsi="Times New Roman" w:eastAsia="仿宋_GB2312" w:cs="Times New Roman"/>
                <w:color w:val="auto"/>
                <w:sz w:val="28"/>
                <w:szCs w:val="28"/>
                <w:highlight w:val="none"/>
              </w:rPr>
              <w:t>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学校项目建设、教职工待遇、后勤服务保障、信访积案等处置不及时。</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（三）德育工作不到位。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1.学校、教室没有在明显位置张贴社会主义核心价值观24字、《中小学生守则（2015年修订）》。</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rPr>
              <w:t>2.教室正前上方没有国旗标识。</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trHeight w:val="1982" w:hRule="atLeast"/>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（四）其他。</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1.学校预防网络沉迷教育和手机管理不到位。</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2.发生学生安全事件后，公安机关不按规定完整报送信息起因、经过、结果，没有及时向属地党委政府报送信息。</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restart"/>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default" w:ascii="Times New Roman" w:hAnsi="Times New Roman" w:eastAsia="仿宋_GB2312" w:cs="Times New Roman"/>
                <w:color w:val="auto"/>
                <w:sz w:val="28"/>
                <w:szCs w:val="28"/>
                <w:vertAlign w:val="baseline"/>
                <w:lang w:val="en" w:eastAsia="zh-CN"/>
              </w:rPr>
              <w:t>八、溺水事故防范不到位问题。</w:t>
            </w: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（一）教育培训针对性不强。</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1.没有结合学生年龄特点、地域特点开展防溺水教育。</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2.没有广泛深入开展宣传、应急演练。</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3.没有落实重点关注人员排查教育管理。</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（二）溺水隐患排查整治不到位。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1.没有绘制中高风险水域地图。</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2.没有排查整治自然水域溺水隐患。</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3.没有排查整治在建项目、废弃矿区溺水隐患。</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（三）水域巡查管理不到位。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1.没有落实水域巡查员公益性岗位。</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2.没有统筹各方力量开展巡查。</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3.没有落实责任人巡查值守要求。</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Ex>
        <w:trPr>
          <w:jc w:val="center"/>
        </w:trPr>
        <w:tc>
          <w:tcPr>
            <w:tcW w:w="1328" w:type="dxa"/>
            <w:vMerge w:val="continue"/>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vertAlign w:val="baseline"/>
                <w:lang w:val="en" w:eastAsia="zh-CN"/>
              </w:rPr>
            </w:pPr>
          </w:p>
        </w:tc>
        <w:tc>
          <w:tcPr>
            <w:tcW w:w="1517" w:type="dxa"/>
            <w:noWrap w:val="0"/>
            <w:vAlign w:val="center"/>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（四）学生全时段管理不到位。</w:t>
            </w:r>
          </w:p>
        </w:tc>
        <w:tc>
          <w:tcPr>
            <w:tcW w:w="5859" w:type="dxa"/>
            <w:noWrap w:val="0"/>
            <w:vAlign w:val="top"/>
          </w:tcPr>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1.监护人没有严格学生在家时间段管理。</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2.监护人没有严格学生上下学时间段管理。</w:t>
            </w:r>
          </w:p>
          <w:p>
            <w:pPr>
              <w:keepNext w:val="0"/>
              <w:keepLines w:val="0"/>
              <w:pageBreakBefore w:val="0"/>
              <w:widowControl w:val="0"/>
              <w:kinsoku/>
              <w:wordWrap/>
              <w:autoSpaceDE/>
              <w:autoSpaceDN/>
              <w:bidi w:val="0"/>
              <w:adjustRightInd/>
              <w:snapToGrid/>
              <w:spacing w:line="460" w:lineRule="exac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3.学校没有严格学生在校时间段管理。</w:t>
            </w:r>
          </w:p>
        </w:tc>
        <w:tc>
          <w:tcPr>
            <w:tcW w:w="1482"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77"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8"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c>
          <w:tcPr>
            <w:tcW w:w="885" w:type="dxa"/>
            <w:noWrap w:val="0"/>
            <w:vAlign w:val="top"/>
          </w:tcPr>
          <w:p>
            <w:pPr>
              <w:keepNext w:val="0"/>
              <w:keepLines w:val="0"/>
              <w:pageBreakBefore w:val="0"/>
              <w:widowControl w:val="0"/>
              <w:kinsoku/>
              <w:wordWrap/>
              <w:autoSpaceDE/>
              <w:autoSpaceDN/>
              <w:bidi w:val="0"/>
              <w:adjustRightInd/>
              <w:snapToGrid/>
              <w:spacing w:line="460" w:lineRule="exact"/>
              <w:jc w:val="center"/>
              <w:textAlignment w:val="auto"/>
              <w:rPr>
                <w:rFonts w:hint="default" w:ascii="Times New Roman" w:hAnsi="Times New Roman" w:eastAsia="仿宋_GB2312" w:cs="Times New Roman"/>
                <w:sz w:val="28"/>
                <w:szCs w:val="28"/>
                <w:vertAlign w:val="baseline"/>
                <w:lang w:val="en-US" w:eastAsia="zh-CN"/>
              </w:rPr>
            </w:pPr>
          </w:p>
        </w:tc>
      </w:tr>
    </w:tbl>
    <w:p>
      <w:pPr>
        <w:keepNext w:val="0"/>
        <w:keepLines w:val="0"/>
        <w:pageBreakBefore w:val="0"/>
        <w:widowControl w:val="0"/>
        <w:kinsoku/>
        <w:wordWrap/>
        <w:autoSpaceDE/>
        <w:autoSpaceDN/>
        <w:bidi w:val="0"/>
        <w:adjustRightInd/>
        <w:snapToGrid/>
        <w:spacing w:line="460" w:lineRule="exact"/>
        <w:textAlignment w:val="auto"/>
        <w:rPr>
          <w:rFonts w:hint="default" w:ascii="Times New Roman" w:hAnsi="Times New Roman" w:eastAsia="仿宋_GB2312" w:cs="Times New Roman"/>
          <w:sz w:val="28"/>
          <w:szCs w:val="28"/>
          <w:lang w:val="en-US" w:eastAsia="zh-CN"/>
        </w:rPr>
        <w:sectPr>
          <w:pgSz w:w="16838" w:h="11906" w:orient="landscape"/>
          <w:pgMar w:top="1587" w:right="1474" w:bottom="1587" w:left="1474" w:header="851" w:footer="1049" w:gutter="0"/>
          <w:pgNumType w:fmt="decimal"/>
          <w:cols w:space="720" w:num="1"/>
          <w:rtlGutter w:val="0"/>
          <w:docGrid w:type="linesAndChars" w:linePitch="579" w:charSpace="-842"/>
        </w:sectPr>
      </w:pPr>
    </w:p>
    <w:p/>
    <w:sectPr>
      <w:pgSz w:w="11906" w:h="16838"/>
      <w:pgMar w:top="1440" w:right="1800" w:bottom="1440" w:left="1800" w:header="851" w:footer="992" w:gutter="0"/>
      <w:cols w:space="425" w:num="1"/>
      <w:docGrid w:type="lines" w:linePitch="312" w:charSpace="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49C1F"/>
    <w:multiLevelType w:val="singleLevel"/>
    <w:tmpl w:val="6DF49C1F"/>
    <w:lvl w:ilvl="0" w:tentative="0">
      <w:start w:val="1"/>
      <w:numFmt w:val="decimal"/>
      <w:suff w:val="nothing"/>
      <w:lvlText w:val="%1."/>
      <w:lvlJc w:val="left"/>
    </w:lvl>
  </w:abstractNum>
  <w:abstractNum w:abstractNumId="1">
    <w:nsid w:val="77D366FA"/>
    <w:multiLevelType w:val="singleLevel"/>
    <w:tmpl w:val="77D366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5233C"/>
    <w:rsid w:val="02D8107D"/>
    <w:rsid w:val="048C3F95"/>
    <w:rsid w:val="086E7421"/>
    <w:rsid w:val="0ACE2DEB"/>
    <w:rsid w:val="166336C3"/>
    <w:rsid w:val="18B1482D"/>
    <w:rsid w:val="1B1F4D79"/>
    <w:rsid w:val="1EE04732"/>
    <w:rsid w:val="1F16077C"/>
    <w:rsid w:val="2465233C"/>
    <w:rsid w:val="27855748"/>
    <w:rsid w:val="2965714C"/>
    <w:rsid w:val="2D8003CB"/>
    <w:rsid w:val="2E6D37B0"/>
    <w:rsid w:val="2F795877"/>
    <w:rsid w:val="2F965CFF"/>
    <w:rsid w:val="32217F6A"/>
    <w:rsid w:val="367465A4"/>
    <w:rsid w:val="3853088B"/>
    <w:rsid w:val="3FF72817"/>
    <w:rsid w:val="48556CFC"/>
    <w:rsid w:val="4AFF3E90"/>
    <w:rsid w:val="58A46B7C"/>
    <w:rsid w:val="66D578E9"/>
    <w:rsid w:val="681E5FA1"/>
    <w:rsid w:val="68544F53"/>
    <w:rsid w:val="68585A5E"/>
    <w:rsid w:val="6AC5794F"/>
    <w:rsid w:val="6B8A4751"/>
    <w:rsid w:val="6D56266E"/>
    <w:rsid w:val="6DE72783"/>
    <w:rsid w:val="722F699D"/>
    <w:rsid w:val="729F478A"/>
    <w:rsid w:val="77307C1F"/>
    <w:rsid w:val="7B94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2023-05-23T08:55:00Z</dcterms:created>
  <dc:creator>潘碧榕</dc:creator>
  <cp:lastModifiedBy>潘碧榕</cp:lastModifiedBy>
  <dcterms:modified xsi:type="dcterms:W3CDTF">2023-05-23T08:56:07Z</dcterms:modified>
  <cp:revision>1</cp:revision>
</cp:coreProperties>
</file>