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00" w:lineRule="exact"/>
        <w:jc w:val="left"/>
        <w:rPr>
          <w:rFonts w:hint="eastAsia" w:ascii="黑体" w:hAnsi="黑体" w:eastAsia="黑体" w:cs="黑体"/>
          <w:b w:val="0"/>
          <w:bCs/>
          <w:snapToGrid w:val="0"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spacing w:val="-20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800" w:lineRule="exact"/>
        <w:jc w:val="center"/>
        <w:rPr>
          <w:rFonts w:eastAsia="方正小标宋简体"/>
          <w:b/>
          <w:snapToGrid w:val="0"/>
          <w:color w:val="FF0000"/>
          <w:spacing w:val="-40"/>
          <w:w w:val="99"/>
          <w:kern w:val="0"/>
          <w:sz w:val="48"/>
          <w:szCs w:val="48"/>
        </w:rPr>
      </w:pPr>
      <w:r>
        <w:rPr>
          <w:rFonts w:eastAsia="方正小标宋简体"/>
          <w:b/>
          <w:snapToGrid w:val="0"/>
          <w:color w:val="FF0000"/>
          <w:spacing w:val="-40"/>
          <w:w w:val="99"/>
          <w:kern w:val="0"/>
          <w:sz w:val="48"/>
          <w:szCs w:val="48"/>
        </w:rPr>
        <w:t>南宁市企业复工复产和防疫协调调度</w:t>
      </w:r>
      <w:r>
        <w:rPr>
          <w:rFonts w:hint="eastAsia" w:eastAsia="方正小标宋简体"/>
          <w:b/>
          <w:snapToGrid w:val="0"/>
          <w:color w:val="FF0000"/>
          <w:spacing w:val="-40"/>
          <w:w w:val="99"/>
          <w:kern w:val="0"/>
          <w:sz w:val="48"/>
          <w:szCs w:val="48"/>
          <w:lang w:val="en-US" w:eastAsia="zh-CN"/>
        </w:rPr>
        <w:t>工作</w:t>
      </w:r>
      <w:r>
        <w:rPr>
          <w:rFonts w:eastAsia="方正小标宋简体"/>
          <w:b/>
          <w:snapToGrid w:val="0"/>
          <w:color w:val="FF0000"/>
          <w:spacing w:val="-40"/>
          <w:w w:val="99"/>
          <w:kern w:val="0"/>
          <w:sz w:val="48"/>
          <w:szCs w:val="48"/>
        </w:rPr>
        <w:t>领导小组</w:t>
      </w:r>
    </w:p>
    <w:p>
      <w:pPr>
        <w:adjustRightInd w:val="0"/>
        <w:snapToGrid w:val="0"/>
        <w:spacing w:line="700" w:lineRule="exact"/>
        <w:jc w:val="center"/>
        <w:rPr>
          <w:rFonts w:eastAsia="方正小标宋_GBK"/>
          <w:b/>
          <w:snapToGrid w:val="0"/>
          <w:color w:val="FF0000"/>
          <w:spacing w:val="-20"/>
          <w:kern w:val="0"/>
          <w:sz w:val="70"/>
          <w:szCs w:val="70"/>
        </w:rPr>
      </w:pPr>
    </w:p>
    <w:p>
      <w:pPr>
        <w:adjustRightInd w:val="0"/>
        <w:snapToGrid w:val="0"/>
        <w:spacing w:line="1600" w:lineRule="exact"/>
        <w:jc w:val="center"/>
        <w:rPr>
          <w:rFonts w:eastAsia="方正小标宋简体"/>
          <w:snapToGrid w:val="0"/>
          <w:color w:val="FF0000"/>
          <w:spacing w:val="-20"/>
          <w:kern w:val="0"/>
          <w:sz w:val="144"/>
          <w:szCs w:val="144"/>
        </w:rPr>
      </w:pPr>
      <w:r>
        <w:rPr>
          <w:rFonts w:eastAsia="方正小标宋简体"/>
          <w:snapToGrid w:val="0"/>
          <w:color w:val="FF0000"/>
          <w:spacing w:val="-20"/>
          <w:kern w:val="0"/>
          <w:sz w:val="144"/>
          <w:szCs w:val="144"/>
        </w:rPr>
        <w:t>简报</w:t>
      </w:r>
    </w:p>
    <w:p>
      <w:pPr>
        <w:adjustRightInd w:val="0"/>
        <w:snapToGrid w:val="0"/>
        <w:spacing w:line="600" w:lineRule="exact"/>
        <w:jc w:val="center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2022年</w:t>
      </w: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eastAsia="黑体"/>
          <w:sz w:val="32"/>
          <w:szCs w:val="32"/>
        </w:rPr>
        <w:t>期</w:t>
      </w:r>
    </w:p>
    <w:p>
      <w:pPr>
        <w:widowControl/>
        <w:tabs>
          <w:tab w:val="left" w:pos="6084"/>
        </w:tabs>
        <w:jc w:val="left"/>
        <w:rPr>
          <w:szCs w:val="20"/>
        </w:rPr>
      </w:pPr>
      <w:r>
        <w:rPr>
          <w:szCs w:val="20"/>
        </w:rPr>
        <w:tab/>
      </w:r>
    </w:p>
    <w:p>
      <w:pPr>
        <w:spacing w:line="400" w:lineRule="exact"/>
        <w:rPr>
          <w:rFonts w:eastAsia="仿宋_GB2312"/>
          <w:spacing w:val="-6"/>
          <w:kern w:val="0"/>
          <w:sz w:val="32"/>
          <w:szCs w:val="32"/>
        </w:rPr>
      </w:pPr>
      <w:r>
        <w:rPr>
          <w:rFonts w:hint="eastAsia" w:eastAsia="仿宋_GB2312"/>
          <w:spacing w:val="-6"/>
          <w:kern w:val="0"/>
          <w:sz w:val="30"/>
          <w:szCs w:val="30"/>
        </w:rPr>
        <w:t xml:space="preserve"> </w:t>
      </w:r>
      <w:r>
        <w:rPr>
          <w:rFonts w:eastAsia="仿宋_GB2312"/>
          <w:spacing w:val="-6"/>
          <w:kern w:val="0"/>
          <w:sz w:val="30"/>
          <w:szCs w:val="30"/>
        </w:rPr>
        <w:t>南宁市企业复工复产和防疫协调调度</w:t>
      </w:r>
      <w:r>
        <w:rPr>
          <w:rFonts w:hint="eastAsia" w:eastAsia="仿宋_GB2312"/>
          <w:spacing w:val="-6"/>
          <w:kern w:val="0"/>
          <w:sz w:val="30"/>
          <w:szCs w:val="30"/>
          <w:lang w:val="en-US" w:eastAsia="zh-CN"/>
        </w:rPr>
        <w:t>工作</w:t>
      </w:r>
      <w:r>
        <w:rPr>
          <w:rFonts w:eastAsia="仿宋_GB2312"/>
          <w:spacing w:val="-6"/>
          <w:kern w:val="0"/>
          <w:sz w:val="30"/>
          <w:szCs w:val="30"/>
        </w:rPr>
        <w:t>领导小组办公室</w:t>
      </w:r>
      <w:r>
        <w:rPr>
          <w:rFonts w:eastAsia="仿宋_GB2312"/>
          <w:spacing w:val="-6"/>
          <w:kern w:val="0"/>
          <w:sz w:val="32"/>
          <w:szCs w:val="32"/>
        </w:rPr>
        <w:t xml:space="preserve"> </w:t>
      </w:r>
      <w:r>
        <w:rPr>
          <w:rFonts w:hint="eastAsia" w:eastAsia="仿宋_GB2312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spacing w:val="-6"/>
          <w:kern w:val="0"/>
          <w:sz w:val="32"/>
          <w:szCs w:val="32"/>
        </w:rPr>
        <w:t>月</w:t>
      </w:r>
      <w:r>
        <w:rPr>
          <w:rFonts w:hint="eastAsia" w:eastAsia="仿宋_GB2312"/>
          <w:spacing w:val="-6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pacing w:val="-6"/>
          <w:kern w:val="0"/>
          <w:sz w:val="32"/>
          <w:szCs w:val="32"/>
        </w:rPr>
        <w:t>日</w:t>
      </w:r>
    </w:p>
    <w:p>
      <w:pPr>
        <w:widowControl/>
        <w:jc w:val="center"/>
        <w:rPr>
          <w:szCs w:val="20"/>
        </w:rPr>
      </w:pPr>
      <w:bookmarkStart w:id="0" w:name="_GoBack"/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132080</wp:posOffset>
                </wp:positionV>
                <wp:extent cx="5760085" cy="635"/>
                <wp:effectExtent l="0" t="19050" r="12065" b="374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0.4pt;height:0.05pt;width:453.55pt;mso-position-horizontal:center;z-index:251659264;mso-width-relative:page;mso-height-relative:page;" filled="f" coordsize="21600,21600" o:gfxdata="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TFYu9UAAAAGAQAADwAAAAAAAAABACAAAAAiAAAAZHJzL2Rvd25y&#10;ZXYueG1sUEsBAhQAFAAAAAgAh07iQBEo/lkBAgAA7wMAAA4AAAAAAAAAAQAgAAAAJAEAAGRycy9l&#10;Mm9Eb2MueG1sUEsFBgAAAAAGAAYAWQEAAJcFAAAAAA==&#10;">
                <v:path arrowok="t"/>
                <v:fill on="f" focussize="0,0"/>
                <v:stroke weight="3pt" color="#FF0000"/>
                <v:imagedata o:title=""/>
                <o:lock v:ext="edit"/>
              </v:shape>
            </w:pict>
          </mc:Fallback>
        </mc:AlternateContent>
      </w:r>
      <w:bookmarkEnd w:id="0"/>
    </w:p>
    <w:p>
      <w:pPr>
        <w:spacing w:line="520" w:lineRule="exact"/>
        <w:rPr>
          <w:rFonts w:hint="eastAsia" w:ascii="宋体" w:hAnsi="宋体" w:cs="宋体"/>
          <w:sz w:val="30"/>
          <w:szCs w:val="30"/>
        </w:rPr>
      </w:pPr>
    </w:p>
    <w:p>
      <w:pPr>
        <w:spacing w:line="520" w:lineRule="exact"/>
        <w:rPr>
          <w:rFonts w:hint="eastAsia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eastAsia="仿宋_GB2312"/>
          <w:sz w:val="30"/>
          <w:szCs w:val="30"/>
        </w:rPr>
        <w:t>南宁市企业复工复产要情</w:t>
      </w:r>
    </w:p>
    <w:p>
      <w:pPr>
        <w:spacing w:line="520" w:lineRule="exact"/>
        <w:rPr>
          <w:rFonts w:hint="eastAsia" w:ascii="宋体" w:hAnsi="宋体" w:cs="宋体"/>
          <w:sz w:val="30"/>
          <w:szCs w:val="30"/>
        </w:rPr>
      </w:pPr>
    </w:p>
    <w:p>
      <w:pPr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eastAsia="仿宋_GB2312"/>
          <w:sz w:val="30"/>
          <w:szCs w:val="30"/>
        </w:rPr>
        <w:t>表1企业及项目复工复产情况总表</w:t>
      </w:r>
    </w:p>
    <w:p>
      <w:pPr>
        <w:spacing w:line="520" w:lineRule="exact"/>
        <w:rPr>
          <w:rFonts w:hint="eastAsia" w:ascii="宋体" w:hAnsi="宋体" w:cs="宋体"/>
          <w:sz w:val="30"/>
          <w:szCs w:val="30"/>
        </w:rPr>
      </w:pPr>
    </w:p>
    <w:p>
      <w:pPr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eastAsia="仿宋_GB2312"/>
          <w:sz w:val="30"/>
          <w:szCs w:val="30"/>
        </w:rPr>
        <w:t>表2企业复工复产情况表（规模以上工业、农业龙头企业）</w:t>
      </w:r>
    </w:p>
    <w:p>
      <w:pPr>
        <w:spacing w:line="520" w:lineRule="exact"/>
        <w:rPr>
          <w:rFonts w:hint="eastAsia" w:ascii="宋体" w:hAnsi="宋体" w:cs="宋体"/>
          <w:sz w:val="30"/>
          <w:szCs w:val="30"/>
        </w:rPr>
      </w:pPr>
    </w:p>
    <w:p>
      <w:pPr>
        <w:spacing w:line="520" w:lineRule="exact"/>
        <w:rPr>
          <w:rFonts w:eastAsia="仿宋_GB2312"/>
          <w:spacing w:val="-6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eastAsia="仿宋_GB2312"/>
          <w:spacing w:val="-6"/>
          <w:sz w:val="30"/>
          <w:szCs w:val="30"/>
        </w:rPr>
        <w:t>表3企业复工复产情况表（规模以上服务、限额以上商贸服务业）</w:t>
      </w:r>
    </w:p>
    <w:p>
      <w:pPr>
        <w:spacing w:line="520" w:lineRule="exact"/>
        <w:rPr>
          <w:rFonts w:hint="eastAsia" w:ascii="宋体" w:hAnsi="宋体" w:cs="宋体"/>
          <w:sz w:val="30"/>
          <w:szCs w:val="30"/>
        </w:rPr>
      </w:pPr>
    </w:p>
    <w:p>
      <w:pPr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eastAsia="仿宋_GB2312"/>
          <w:sz w:val="30"/>
          <w:szCs w:val="30"/>
        </w:rPr>
        <w:t>表4建筑业项目和房地产企业复工情况表</w:t>
      </w:r>
    </w:p>
    <w:p>
      <w:pPr>
        <w:spacing w:line="520" w:lineRule="exact"/>
        <w:rPr>
          <w:rFonts w:hint="eastAsia" w:ascii="宋体" w:hAnsi="宋体" w:cs="宋体"/>
          <w:sz w:val="30"/>
          <w:szCs w:val="30"/>
        </w:rPr>
      </w:pPr>
    </w:p>
    <w:p>
      <w:pPr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eastAsia="仿宋_GB2312"/>
          <w:sz w:val="30"/>
          <w:szCs w:val="30"/>
        </w:rPr>
        <w:t>表5重大项目复工情况表</w:t>
      </w:r>
    </w:p>
    <w:p>
      <w:pPr>
        <w:spacing w:line="520" w:lineRule="exact"/>
        <w:rPr>
          <w:rFonts w:hint="eastAsia" w:ascii="宋体" w:hAnsi="宋体" w:cs="宋体"/>
          <w:sz w:val="30"/>
          <w:szCs w:val="30"/>
        </w:rPr>
      </w:pPr>
    </w:p>
    <w:p>
      <w:pPr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eastAsia="仿宋_GB2312"/>
          <w:sz w:val="30"/>
          <w:szCs w:val="30"/>
        </w:rPr>
        <w:t>表6市层面统筹推进重大项目复工情况表（市属平台公司）</w:t>
      </w:r>
    </w:p>
    <w:p>
      <w:pPr>
        <w:spacing w:line="520" w:lineRule="exact"/>
        <w:rPr>
          <w:rFonts w:hint="eastAsia" w:eastAsia="仿宋_GB2312"/>
          <w:sz w:val="28"/>
          <w:szCs w:val="28"/>
        </w:rPr>
      </w:pPr>
    </w:p>
    <w:p>
      <w:pPr>
        <w:widowControl/>
        <w:spacing w:line="580" w:lineRule="exact"/>
        <w:ind w:left="320" w:hanging="320" w:hangingChars="1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方正小标宋简体"/>
          <w:sz w:val="44"/>
          <w:szCs w:val="44"/>
        </w:rPr>
        <w:t>南宁市企业复工复产要情</w:t>
      </w:r>
    </w:p>
    <w:p>
      <w:pPr>
        <w:spacing w:line="52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</w:p>
    <w:p>
      <w:pPr>
        <w:spacing w:line="580" w:lineRule="exac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根据统计调查监测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/>
          <w:kern w:val="0"/>
          <w:sz w:val="32"/>
          <w:szCs w:val="32"/>
        </w:rPr>
        <w:t>202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kern w:val="0"/>
          <w:sz w:val="32"/>
          <w:szCs w:val="32"/>
        </w:rPr>
        <w:t>年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kern w:val="0"/>
          <w:sz w:val="32"/>
          <w:szCs w:val="32"/>
        </w:rPr>
        <w:t>月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2"/>
          <w:szCs w:val="32"/>
        </w:rPr>
        <w:t>日，全市复工企业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2"/>
          <w:szCs w:val="32"/>
        </w:rPr>
        <w:t>家，复工率为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2"/>
          <w:szCs w:val="32"/>
        </w:rPr>
        <w:t>%；员工已到岗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2"/>
          <w:szCs w:val="32"/>
        </w:rPr>
        <w:t>人，到岗率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/>
          <w:kern w:val="0"/>
          <w:sz w:val="32"/>
          <w:szCs w:val="32"/>
        </w:rPr>
        <w:t>%。</w:t>
      </w:r>
      <w:r>
        <w:rPr>
          <w:rFonts w:hint="eastAsia" w:eastAsia="仿宋_GB2312"/>
          <w:kern w:val="0"/>
          <w:sz w:val="32"/>
          <w:szCs w:val="32"/>
        </w:rPr>
        <w:t>其中规模以上工业企业、农业龙头企业、房地产企业、建筑业项目、区层面统筹推进在建重大项目复工率和到岗率均为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%；规模以上服务业企业、道路客货运企业复工率为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%，具体情况如下：</w:t>
      </w:r>
    </w:p>
    <w:p>
      <w:pPr>
        <w:spacing w:line="580" w:lineRule="exact"/>
        <w:ind w:firstLine="63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一、</w:t>
      </w:r>
      <w:r>
        <w:rPr>
          <w:rFonts w:hint="eastAsia" w:ascii="楷体_GB2312" w:eastAsia="楷体_GB2312"/>
          <w:b/>
          <w:kern w:val="0"/>
          <w:sz w:val="32"/>
          <w:szCs w:val="32"/>
        </w:rPr>
        <w:t>规模以上工业企业。</w:t>
      </w:r>
      <w:r>
        <w:rPr>
          <w:rFonts w:hint="eastAsia" w:eastAsia="仿宋_GB2312"/>
          <w:kern w:val="0"/>
          <w:sz w:val="32"/>
          <w:szCs w:val="32"/>
        </w:rPr>
        <w:t>全市规模以上工业企业员工已到岗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人，到岗率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%。</w:t>
      </w:r>
    </w:p>
    <w:p>
      <w:pPr>
        <w:spacing w:line="580" w:lineRule="exac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二、</w:t>
      </w:r>
      <w:r>
        <w:rPr>
          <w:rFonts w:hint="eastAsia" w:ascii="楷体_GB2312" w:eastAsia="楷体_GB2312"/>
          <w:b/>
          <w:kern w:val="0"/>
          <w:sz w:val="32"/>
          <w:szCs w:val="32"/>
        </w:rPr>
        <w:t>规模以上服务业企业。</w:t>
      </w:r>
      <w:r>
        <w:rPr>
          <w:rFonts w:hint="eastAsia" w:eastAsia="仿宋_GB2312"/>
          <w:kern w:val="0"/>
          <w:sz w:val="32"/>
          <w:szCs w:val="32"/>
        </w:rPr>
        <w:t>全市规模以上服务业企业员工已到岗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人，到岗率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三、</w:t>
      </w:r>
      <w:r>
        <w:rPr>
          <w:rFonts w:hint="eastAsia" w:ascii="楷体_GB2312" w:eastAsia="楷体_GB2312"/>
          <w:b/>
          <w:kern w:val="0"/>
          <w:sz w:val="32"/>
          <w:szCs w:val="32"/>
        </w:rPr>
        <w:t>限额以上商贸服务业企业。</w:t>
      </w:r>
      <w:r>
        <w:rPr>
          <w:rFonts w:hint="eastAsia" w:eastAsia="仿宋_GB2312"/>
          <w:kern w:val="0"/>
          <w:sz w:val="32"/>
          <w:szCs w:val="32"/>
        </w:rPr>
        <w:t>全市限额以上商贸服务业企业复工率为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%，员工已到岗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人，到岗率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四、</w:t>
      </w:r>
      <w:r>
        <w:rPr>
          <w:rFonts w:hint="eastAsia" w:ascii="楷体_GB2312" w:eastAsia="楷体_GB2312"/>
          <w:b/>
          <w:kern w:val="0"/>
          <w:sz w:val="32"/>
          <w:szCs w:val="32"/>
        </w:rPr>
        <w:t>农业龙头企业。</w:t>
      </w:r>
      <w:r>
        <w:rPr>
          <w:rFonts w:hint="eastAsia" w:eastAsia="仿宋_GB2312"/>
          <w:kern w:val="0"/>
          <w:sz w:val="32"/>
          <w:szCs w:val="32"/>
        </w:rPr>
        <w:t>全市农业龙头企业员工已到岗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人，到岗率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楷体_GB2312" w:eastAsia="楷体_GB2312"/>
          <w:b/>
          <w:kern w:val="0"/>
          <w:sz w:val="32"/>
          <w:szCs w:val="32"/>
        </w:rPr>
        <w:t>道路客货运企业。</w:t>
      </w:r>
      <w:r>
        <w:rPr>
          <w:rFonts w:hint="eastAsia" w:eastAsia="仿宋_GB2312"/>
          <w:kern w:val="0"/>
          <w:sz w:val="32"/>
          <w:szCs w:val="32"/>
        </w:rPr>
        <w:t>全市道路客货运企业员工已到岗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人，到岗率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六、</w:t>
      </w:r>
      <w:r>
        <w:rPr>
          <w:rFonts w:hint="eastAsia" w:ascii="楷体_GB2312" w:eastAsia="楷体_GB2312"/>
          <w:b/>
          <w:kern w:val="0"/>
          <w:sz w:val="32"/>
          <w:szCs w:val="32"/>
        </w:rPr>
        <w:t>建筑业项目和房地产企业。</w:t>
      </w:r>
      <w:r>
        <w:rPr>
          <w:rFonts w:hint="eastAsia" w:eastAsia="仿宋_GB2312"/>
          <w:kern w:val="0"/>
          <w:sz w:val="32"/>
          <w:szCs w:val="32"/>
        </w:rPr>
        <w:t>全市建筑业项目员工已到岗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人，到岗率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%。全市房地产企业员工已到岗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人，到岗率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七、</w:t>
      </w:r>
      <w:r>
        <w:rPr>
          <w:rFonts w:hint="eastAsia" w:ascii="楷体_GB2312" w:eastAsia="楷体_GB2312"/>
          <w:b/>
          <w:kern w:val="0"/>
          <w:sz w:val="32"/>
          <w:szCs w:val="32"/>
        </w:rPr>
        <w:t>区市层面统筹推进在建重大项目。</w:t>
      </w:r>
      <w:r>
        <w:rPr>
          <w:rFonts w:hint="eastAsia" w:eastAsia="仿宋_GB2312"/>
          <w:kern w:val="0"/>
          <w:sz w:val="32"/>
          <w:szCs w:val="32"/>
        </w:rPr>
        <w:t>纳入自治区层面统筹推进在建重大项目员工已到岗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人，到岗率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%。纳入市层面统筹推进在建重大项目复工率为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%，员工已到岗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人，到岗率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%。  </w:t>
      </w:r>
    </w:p>
    <w:p>
      <w:pPr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520" w:lineRule="exact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表1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企业及项目复工复产情况总表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7"/>
        <w:gridCol w:w="1417"/>
        <w:gridCol w:w="1418"/>
        <w:gridCol w:w="1459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地区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复工率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（%）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正常到岗（人）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实际到岗（人）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到岗率（%）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规模以上工业企业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规模以上服务业企业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限额以上商贸服务业企业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农业龙头企业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道路客货运企业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房地产企业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外贸企业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金融机构和地方金融企业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建筑业施工项目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区层面统筹推进在建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重大项目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市层面统筹推进在建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重大项目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left="480" w:hanging="480" w:hangingChars="200"/>
        <w:jc w:val="left"/>
        <w:rPr>
          <w:rFonts w:eastAsia="仿宋_GB2312"/>
          <w:sz w:val="24"/>
          <w:szCs w:val="24"/>
        </w:rPr>
        <w:sectPr>
          <w:footerReference r:id="rId4" w:type="first"/>
          <w:footerReference r:id="rId3" w:type="default"/>
          <w:pgSz w:w="11906" w:h="16838"/>
          <w:pgMar w:top="1417" w:right="1531" w:bottom="1417" w:left="1531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表2</w:t>
      </w:r>
    </w:p>
    <w:p>
      <w:pPr>
        <w:spacing w:line="100" w:lineRule="atLeas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企业复工复产情况表（规模以上工业、农业龙头企业）</w:t>
      </w:r>
    </w:p>
    <w:tbl>
      <w:tblPr>
        <w:tblStyle w:val="3"/>
        <w:tblpPr w:leftFromText="180" w:rightFromText="180" w:vertAnchor="text" w:horzAnchor="margin" w:tblpXSpec="center" w:tblpY="1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701"/>
        <w:gridCol w:w="1701"/>
        <w:gridCol w:w="1560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地区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规模以上工业企业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农业龙头企业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复工率（%）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正常到岗（人）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实际到岗（人）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到岗率（%）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复工率（%）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正常到岗（人）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实际到岗（人）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到岗率（%）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横州市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宾阳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马山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隆安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江南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西乡塘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邕宁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良庆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武鸣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1"/>
              </w:rPr>
              <w:t>东盟经开区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eastAsia="仿宋_GB2312"/>
          <w:sz w:val="24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表3</w:t>
      </w:r>
    </w:p>
    <w:p>
      <w:pPr>
        <w:spacing w:line="100" w:lineRule="atLeast"/>
        <w:jc w:val="center"/>
        <w:rPr>
          <w:rFonts w:eastAsia="方正小标宋简体"/>
          <w:sz w:val="24"/>
          <w:szCs w:val="24"/>
        </w:rPr>
      </w:pPr>
      <w:r>
        <w:rPr>
          <w:rFonts w:eastAsia="方正小标宋简体"/>
          <w:sz w:val="32"/>
          <w:szCs w:val="32"/>
        </w:rPr>
        <w:t>企业复工复产情况表（规模以上服务、限额以上商贸服务业企业）</w:t>
      </w:r>
    </w:p>
    <w:tbl>
      <w:tblPr>
        <w:tblStyle w:val="3"/>
        <w:tblpPr w:leftFromText="180" w:rightFromText="180" w:vertAnchor="text" w:horzAnchor="margin" w:tblpXSpec="center" w:tblpY="2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701"/>
        <w:gridCol w:w="1701"/>
        <w:gridCol w:w="1560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地区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规模以上服务企业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限额以上商贸服务业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复工率（%）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正常到岗（人）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实际到岗（人）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到岗率（%）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复工率（%）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正常到岗（人）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实际到岗（人）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到岗率（%）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横州市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宾阳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马山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隆安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江南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西乡塘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邕宁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良庆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武鸣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1"/>
              </w:rPr>
              <w:t>东盟经开区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eastAsia="仿宋_GB2312"/>
          <w:sz w:val="24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表4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建筑业项目和房地产企业复工情况表</w:t>
      </w:r>
    </w:p>
    <w:tbl>
      <w:tblPr>
        <w:tblStyle w:val="3"/>
        <w:tblpPr w:leftFromText="180" w:rightFromText="180" w:vertAnchor="text" w:horzAnchor="margin" w:tblpXSpec="center" w:tblpY="1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417"/>
        <w:gridCol w:w="1418"/>
        <w:gridCol w:w="1843"/>
        <w:gridCol w:w="1842"/>
        <w:gridCol w:w="1701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地区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建筑业项目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房地产企业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复工率（%）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正常到岗（人）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实际到岗（人）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到岗率（%）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复工率（%）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正常到岗（人）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实际到岗（人）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到岗率（%）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横州市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宾阳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隆安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江南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西乡塘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邕宁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良庆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武鸣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东盟经开区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市管项目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表5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重大项目复工复产情况表</w:t>
      </w:r>
    </w:p>
    <w:tbl>
      <w:tblPr>
        <w:tblStyle w:val="3"/>
        <w:tblpPr w:leftFromText="180" w:rightFromText="180" w:vertAnchor="text" w:horzAnchor="margin" w:tblpXSpec="center" w:tblpY="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59"/>
        <w:gridCol w:w="1560"/>
        <w:gridCol w:w="1842"/>
        <w:gridCol w:w="1701"/>
        <w:gridCol w:w="1701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地区</w:t>
            </w:r>
          </w:p>
        </w:tc>
        <w:tc>
          <w:tcPr>
            <w:tcW w:w="652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自治区层面统筹推进在建重大项目</w:t>
            </w:r>
          </w:p>
        </w:tc>
        <w:tc>
          <w:tcPr>
            <w:tcW w:w="666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市层面统筹推进在建重大项目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复工率（%）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正常到岗（人）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实际到岗（人）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到岗率（%）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复工率（%）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正常到岗（人）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实际到岗（人）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到岗率（%）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全市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市直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横州市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宾阳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上林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马山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隆安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兴宁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江南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青秀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西乡塘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邕宁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良庆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武鸣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经开区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东盟经开区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五象新区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  <w:sectPr>
          <w:footerReference r:id="rId5" w:type="default"/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表6</w:t>
      </w:r>
    </w:p>
    <w:p>
      <w:pPr>
        <w:spacing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市层面统筹推进重大项目复工情况表（市属平台公司）</w:t>
      </w:r>
    </w:p>
    <w:tbl>
      <w:tblPr>
        <w:tblStyle w:val="3"/>
        <w:tblpPr w:leftFromText="180" w:rightFromText="180" w:vertAnchor="text" w:horzAnchor="page" w:tblpX="1557" w:tblpY="52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65"/>
        <w:gridCol w:w="1700"/>
        <w:gridCol w:w="1664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复工率（%）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正常到岗（人）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实际到岗（人）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到岗率（%）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南宁城投集团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南宁建宁水务集团</w:t>
            </w:r>
          </w:p>
        </w:tc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南宁交投集团</w:t>
            </w:r>
          </w:p>
        </w:tc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南宁轨道集团</w:t>
            </w:r>
          </w:p>
        </w:tc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南宁威宁集团</w:t>
            </w:r>
          </w:p>
        </w:tc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南宁五象投资公司</w:t>
            </w:r>
          </w:p>
        </w:tc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南宁产投集团</w:t>
            </w:r>
          </w:p>
        </w:tc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仿宋_GB2312"/>
          <w:sz w:val="24"/>
        </w:rPr>
      </w:pPr>
      <w:r>
        <w:rPr>
          <w:rFonts w:hint="eastAsia" w:ascii="宋体" w:hAnsi="宋体" w:cs="宋体"/>
        </w:rPr>
        <w:t>※</w:t>
      </w:r>
      <w:r>
        <w:t>：</w:t>
      </w:r>
      <w:r>
        <w:rPr>
          <w:rFonts w:eastAsia="仿宋_GB2312"/>
          <w:sz w:val="24"/>
        </w:rPr>
        <w:t>重大项目包含续建类项目、竣工投产类项目及计划一季度新开工项目。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F789A"/>
    <w:rsid w:val="538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2022-02-24T07:48:00Z</dcterms:created>
  <dc:creator>星光</dc:creator>
  <cp:lastModifiedBy>星光</cp:lastModifiedBy>
  <dcterms:modified xsi:type="dcterms:W3CDTF">2022-02-24T07:49:22Z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0F8F8AD99AD74675802C919F368DA781</vt:lpwstr>
  </property>
</Properties>
</file>