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附件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药品和医疗器械安全突发事件分级标准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pacing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事件分级</w:t>
            </w:r>
          </w:p>
        </w:tc>
        <w:tc>
          <w:tcPr>
            <w:tcW w:w="7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特别重大药品安全突发事件（</w:t>
            </w:r>
            <w:r>
              <w:rPr>
                <w:rFonts w:hint="eastAsia" w:ascii="宋体" w:hAnsi="宋体" w:cs="宋体"/>
                <w:b/>
                <w:spacing w:val="0"/>
                <w:sz w:val="24"/>
              </w:rPr>
              <w:t>Ⅰ</w:t>
            </w:r>
            <w:r>
              <w:rPr>
                <w:b/>
                <w:spacing w:val="0"/>
                <w:sz w:val="24"/>
              </w:rPr>
              <w:t>级）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（1）在相对集中的时间和（或）区域内，批号相对集中的同一药品（指同一生产企业生产的同一药品名、同一剂型、同一规格的药品，下同）引起临床表现相似的，且罕见的或非预期的不良事件的人数50人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</w:t>
            </w:r>
            <w:r>
              <w:rPr>
                <w:rFonts w:eastAsia="仿宋_GB2312"/>
                <w:spacing w:val="0"/>
                <w:sz w:val="24"/>
              </w:rPr>
              <w:t>；或者引起特别严重不良事件（可能对人体造成永久性伤残、对器官功能造成永久性损伤或危及生命的，下同）的人数10人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</w:t>
            </w:r>
            <w:r>
              <w:rPr>
                <w:rFonts w:eastAsia="仿宋_GB2312"/>
                <w:spacing w:val="0"/>
                <w:sz w:val="24"/>
              </w:rPr>
              <w:t xml:space="preserve">。 </w:t>
            </w:r>
            <w:r>
              <w:rPr>
                <w:rFonts w:eastAsia="仿宋_GB2312"/>
                <w:spacing w:val="0"/>
                <w:sz w:val="24"/>
              </w:rPr>
              <w:cr/>
            </w:r>
            <w:r>
              <w:rPr>
                <w:rFonts w:eastAsia="仿宋_GB2312"/>
                <w:spacing w:val="0"/>
                <w:sz w:val="24"/>
              </w:rPr>
              <w:t xml:space="preserve">（2）同一批号药品短期内引起3例以上患者死亡。 </w:t>
            </w:r>
            <w:r>
              <w:rPr>
                <w:rFonts w:eastAsia="仿宋_GB2312"/>
                <w:spacing w:val="0"/>
                <w:sz w:val="24"/>
              </w:rPr>
              <w:cr/>
            </w:r>
            <w:r>
              <w:rPr>
                <w:rFonts w:eastAsia="仿宋_GB2312"/>
                <w:spacing w:val="0"/>
                <w:sz w:val="24"/>
              </w:rPr>
              <w:t>（3）短期内2个以上省（自治区、直辖市）因同一药品发生</w:t>
            </w:r>
            <w:r>
              <w:rPr>
                <w:rFonts w:hint="eastAsia" w:ascii="宋体" w:hAnsi="宋体" w:cs="宋体"/>
                <w:spacing w:val="0"/>
                <w:sz w:val="24"/>
              </w:rPr>
              <w:t>Ⅱ</w:t>
            </w:r>
            <w:r>
              <w:rPr>
                <w:rFonts w:eastAsia="仿宋_GB2312"/>
                <w:spacing w:val="0"/>
                <w:sz w:val="24"/>
              </w:rPr>
              <w:t xml:space="preserve">级药品安全突发事件。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（4）其他危害特别严重的药品安全突发事件。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重大药品安全突发事件（</w:t>
            </w:r>
            <w:r>
              <w:rPr>
                <w:rFonts w:hint="eastAsia" w:ascii="宋体" w:hAnsi="宋体" w:cs="宋体"/>
                <w:b/>
                <w:spacing w:val="0"/>
                <w:sz w:val="24"/>
              </w:rPr>
              <w:t>Ⅱ</w:t>
            </w:r>
            <w:r>
              <w:rPr>
                <w:b/>
                <w:spacing w:val="0"/>
                <w:sz w:val="24"/>
              </w:rPr>
              <w:t>级）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（1）在相对集中的时间和（或）区域内，批号相对集中的同一药品引起临床表现相似的，且罕见的或非预期的不良事件的人数30人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不满</w:t>
            </w:r>
            <w:r>
              <w:rPr>
                <w:rFonts w:eastAsia="仿宋_GB2312"/>
                <w:spacing w:val="0"/>
                <w:sz w:val="24"/>
              </w:rPr>
              <w:t>50人；或者引起特别严重不良事件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的</w:t>
            </w:r>
            <w:r>
              <w:rPr>
                <w:rFonts w:eastAsia="仿宋_GB2312"/>
                <w:spacing w:val="0"/>
                <w:sz w:val="24"/>
              </w:rPr>
              <w:t>人数超过5人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以上不满</w:t>
            </w:r>
            <w:r>
              <w:rPr>
                <w:rFonts w:eastAsia="仿宋_GB2312"/>
                <w:spacing w:val="0"/>
                <w:sz w:val="24"/>
              </w:rPr>
              <w:t xml:space="preserve">10 人。 </w:t>
            </w:r>
            <w:r>
              <w:rPr>
                <w:rFonts w:eastAsia="仿宋_GB2312"/>
                <w:spacing w:val="0"/>
                <w:sz w:val="24"/>
              </w:rPr>
              <w:cr/>
            </w:r>
            <w:r>
              <w:rPr>
                <w:rFonts w:eastAsia="仿宋_GB2312"/>
                <w:spacing w:val="0"/>
                <w:sz w:val="24"/>
              </w:rPr>
              <w:t xml:space="preserve">（2）同一批号药品短期内引起1至2例患者死亡，且在同一区域内同时出现其他类似病例。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（3）短期内，我区2个以上设区市因同一药品发生</w:t>
            </w:r>
            <w:r>
              <w:rPr>
                <w:rFonts w:hint="eastAsia" w:ascii="宋体" w:hAnsi="宋体" w:cs="宋体"/>
                <w:spacing w:val="0"/>
                <w:sz w:val="24"/>
              </w:rPr>
              <w:t>Ⅲ</w:t>
            </w:r>
            <w:r>
              <w:rPr>
                <w:rFonts w:eastAsia="仿宋_GB2312"/>
                <w:spacing w:val="0"/>
                <w:sz w:val="24"/>
              </w:rPr>
              <w:t xml:space="preserve">级药品安全突发事件。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b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（4）其他危害严重的药品安全突发事件。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较大药品安全突发事件（</w:t>
            </w:r>
            <w:r>
              <w:rPr>
                <w:rFonts w:hint="eastAsia" w:ascii="宋体" w:hAnsi="宋体" w:cs="宋体"/>
                <w:b/>
                <w:spacing w:val="0"/>
                <w:sz w:val="24"/>
              </w:rPr>
              <w:t>Ⅲ</w:t>
            </w:r>
            <w:r>
              <w:rPr>
                <w:b/>
                <w:spacing w:val="0"/>
                <w:sz w:val="24"/>
              </w:rPr>
              <w:t>级）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（1）在相对集中的时间和（或）区域内，批号相对集中的同一药品引起临床表现相似的，且罕见的或非预期的不良事件的人数20人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以上不满</w:t>
            </w:r>
            <w:r>
              <w:rPr>
                <w:rFonts w:eastAsia="仿宋_GB2312"/>
                <w:spacing w:val="0"/>
                <w:sz w:val="24"/>
              </w:rPr>
              <w:t>30人；或者引起特别严重不良事件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的</w:t>
            </w:r>
            <w:r>
              <w:rPr>
                <w:rFonts w:eastAsia="仿宋_GB2312"/>
                <w:spacing w:val="0"/>
                <w:sz w:val="24"/>
              </w:rPr>
              <w:t>人数3人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以上不满</w:t>
            </w:r>
            <w:r>
              <w:rPr>
                <w:rFonts w:eastAsia="仿宋_GB2312"/>
                <w:spacing w:val="0"/>
                <w:sz w:val="24"/>
              </w:rPr>
              <w:t xml:space="preserve">5人。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（2）短期内，1个设区市内2个以上县（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市、区</w:t>
            </w:r>
            <w:r>
              <w:rPr>
                <w:rFonts w:eastAsia="仿宋_GB2312"/>
                <w:spacing w:val="0"/>
                <w:sz w:val="24"/>
              </w:rPr>
              <w:t>）因同一药品发生</w:t>
            </w:r>
            <w:r>
              <w:rPr>
                <w:rFonts w:hint="eastAsia" w:ascii="宋体" w:hAnsi="宋体" w:cs="宋体"/>
                <w:spacing w:val="0"/>
                <w:sz w:val="24"/>
              </w:rPr>
              <w:t>Ⅳ</w:t>
            </w:r>
            <w:r>
              <w:rPr>
                <w:rFonts w:eastAsia="仿宋_GB2312"/>
                <w:spacing w:val="0"/>
                <w:sz w:val="24"/>
              </w:rPr>
              <w:t>级药品安全突发事件。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（3）其他危害较大的药品安全突发事件。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spacing w:val="0"/>
                <w:sz w:val="24"/>
              </w:rPr>
            </w:pPr>
            <w:r>
              <w:rPr>
                <w:b/>
                <w:spacing w:val="0"/>
                <w:sz w:val="24"/>
              </w:rPr>
              <w:t>一般药品安全突发事件（</w:t>
            </w:r>
            <w:r>
              <w:rPr>
                <w:rFonts w:hint="eastAsia" w:ascii="宋体" w:hAnsi="宋体" w:cs="宋体"/>
                <w:b/>
                <w:spacing w:val="0"/>
                <w:sz w:val="24"/>
              </w:rPr>
              <w:t>Ⅳ</w:t>
            </w:r>
            <w:r>
              <w:rPr>
                <w:b/>
                <w:spacing w:val="0"/>
                <w:sz w:val="24"/>
              </w:rPr>
              <w:t>级）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（1）在相对集中的时间和（或）区域内，批号相对集中的同一药品引起临床表现相似的，且罕见的或非预期的不良事件的人数10人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以上不满</w:t>
            </w:r>
            <w:r>
              <w:rPr>
                <w:rFonts w:eastAsia="仿宋_GB2312"/>
                <w:spacing w:val="0"/>
                <w:sz w:val="24"/>
              </w:rPr>
              <w:t>20人；或者引起特别严重不良事件，涉及人数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不</w:t>
            </w:r>
            <w:r>
              <w:rPr>
                <w:rFonts w:eastAsia="仿宋_GB2312"/>
                <w:spacing w:val="0"/>
                <w:sz w:val="24"/>
              </w:rPr>
              <w:t xml:space="preserve">超过2 人。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eastAsia="仿宋_GB2312"/>
                <w:b/>
                <w:spacing w:val="0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 xml:space="preserve">（2）其他一般药品安全突发事件。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b/>
          <w:spacing w:val="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74" w:bottom="1417" w:left="1588" w:header="1418" w:footer="1020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附件2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凭祥市药品安全突发事件应急响应处置流程图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-540" w:leftChars="-257"/>
        <w:jc w:val="both"/>
        <w:textAlignment w:val="auto"/>
        <w:rPr>
          <w:spacing w:val="0"/>
          <w:sz w:val="18"/>
          <w:szCs w:val="18"/>
        </w:rPr>
        <w:sectPr>
          <w:footerReference r:id="rId7" w:type="even"/>
          <w:pgSz w:w="11906" w:h="16838"/>
          <w:pgMar w:top="1701" w:right="1418" w:bottom="1134" w:left="1588" w:header="1418" w:footer="850" w:gutter="0"/>
          <w:pgNumType w:fmt="decimal"/>
          <w:cols w:space="720" w:num="1"/>
          <w:docGrid w:type="lines" w:linePitch="312" w:charSpace="0"/>
        </w:sectPr>
      </w:pPr>
      <w:r>
        <w:rPr>
          <w:spacing w:val="0"/>
          <w:sz w:val="18"/>
          <w:szCs w:val="18"/>
        </w:rPr>
        <w:pict>
          <v:group id="Group 309" o:spid="_x0000_s2050" o:spt="203" style="height:551.4pt;width:514.9pt;" coordsize="9512,11789">
            <o:lock v:ext="edit" grouping="f" rotation="f" aspectratio="f"/>
            <v:shape id="Picture 310" o:spid="_x0000_s2051" o:spt="75" type="#_x0000_t75" style="position:absolute;left:0;top:0;height:11789;width:9512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AutoShape 311" o:spid="_x0000_s2052" o:spt="109" type="#_x0000_t109" style="position:absolute;left:2420;top:4575;height:453;width:180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Ⅰ、Ⅱ、Ⅲ、Ⅳ级事件</w:t>
                    </w:r>
                  </w:p>
                </w:txbxContent>
              </v:textbox>
            </v:shape>
            <v:shape id="AutoShape 312" o:spid="_x0000_s2053" o:spt="109" type="#_x0000_t109" style="position:absolute;left:2460;top:5494;height:468;width:108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Ⅳ级事件</w:t>
                    </w:r>
                  </w:p>
                </w:txbxContent>
              </v:textbox>
            </v:shape>
            <v:shape id="AutoShape 313" o:spid="_x0000_s2054" o:spt="109" type="#_x0000_t109" style="position:absolute;left:4220;top:3498;height:468;width:144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Ⅰ、Ⅱ、Ⅲ级事件</w:t>
                    </w:r>
                  </w:p>
                </w:txbxContent>
              </v:textbox>
            </v:shape>
            <v:shape id="AutoShape 314" o:spid="_x0000_s2055" o:spt="109" type="#_x0000_t109" style="position:absolute;left:6760;top:2990;height:468;width:126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Ⅰ、Ⅱ事件</w:t>
                    </w:r>
                  </w:p>
                </w:txbxContent>
              </v:textbox>
            </v:shape>
            <v:shape id="AutoShape 315" o:spid="_x0000_s2056" o:spt="109" type="#_x0000_t109" style="position:absolute;left:6800;top:1390;height:468;width:126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Ⅰ级事件</w:t>
                    </w:r>
                  </w:p>
                </w:txbxContent>
              </v:textbox>
            </v:shape>
            <v:shape id="AutoShape 316" o:spid="_x0000_s2057" o:spt="109" type="#_x0000_t109" style="position:absolute;left:6100;top:9138;height:468;width:1080;" fillcolor="#FFFFFF" filled="t" stroked="t" coordsize="21600,21600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事态扩大</w:t>
                    </w:r>
                  </w:p>
                </w:txbxContent>
              </v:textbox>
            </v:shape>
            <v:shape id="AutoShape 317" o:spid="_x0000_s2058" o:spt="109" type="#_x0000_t109" style="position:absolute;left:900;top:2320;height:788;width:373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市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场监管局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组织事件分级评估，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市场监督管理、卫生健康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等相关部门先期处置</w:t>
                    </w:r>
                  </w:p>
                </w:txbxContent>
              </v:textbox>
            </v:shape>
            <v:shape id="AutoShape 318" o:spid="_x0000_s2059" o:spt="109" type="#_x0000_t109" style="position:absolute;left:8640;top:378;height:4056;width:55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应急响应</w:t>
                    </w:r>
                  </w:p>
                </w:txbxContent>
              </v:textbox>
            </v:shape>
            <v:shape id="AutoShape 319" o:spid="_x0000_s2060" o:spt="109" type="#_x0000_t109" style="position:absolute;left:5760;top:378;height:1092;width:23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国家药品安全突发事件应急指挥部</w:t>
                    </w:r>
                  </w:p>
                </w:txbxContent>
              </v:textbox>
            </v:shape>
            <v:shape id="AutoShape 320" o:spid="_x0000_s2061" o:spt="109" type="#_x0000_t109" style="position:absolute;left:900;top:3378;height:1152;width:349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市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场监管局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会同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卫生健康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等相关部门对事件严重程度、波及范围和影响大小进行研判和会商，提出处置建议</w:t>
                    </w:r>
                  </w:p>
                </w:txbxContent>
              </v:textbox>
            </v:shape>
            <v:shape id="AutoShape 321" o:spid="_x0000_s2062" o:spt="109" type="#_x0000_t109" style="position:absolute;left:720;top:916;height:1092;width:391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jc w:val="center"/>
                      <w:textAlignment w:val="auto"/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信息报告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医疗机构、药械生产经营单位、有关监管部门、技术机构、社会团体及个人报告事件情况</w:t>
                    </w:r>
                  </w:p>
                </w:txbxContent>
              </v:textbox>
            </v:shape>
            <v:shape id="AutoShape 322" o:spid="_x0000_s2063" o:spt="109" type="#_x0000_t109" style="position:absolute;left:8600;top:8154;height:2808;width:59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响应级别提升</w:t>
                    </w:r>
                  </w:p>
                </w:txbxContent>
              </v:textbox>
            </v:shape>
            <v:shape id="AutoShape 323" o:spid="_x0000_s2064" o:spt="109" type="#_x0000_t109" style="position:absolute;left:900;top:5028;height:466;width:32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jc w:val="center"/>
                      <w:textAlignment w:val="auto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市人民政府</w:t>
                    </w:r>
                  </w:p>
                </w:txbxContent>
              </v:textbox>
            </v:shape>
            <v:shape id="AutoShape 324" o:spid="_x0000_s2065" o:spt="109" type="#_x0000_t109" style="position:absolute;left:950;top:90;height:514;width:368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jc w:val="center"/>
                      <w:textAlignment w:val="auto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药品安全突发事件</w:t>
                    </w:r>
                  </w:p>
                </w:txbxContent>
              </v:textbox>
            </v:shape>
            <v:shape id="AutoShape 325" o:spid="_x0000_s2066" o:spt="109" type="#_x0000_t109" style="position:absolute;left:900;top:5962;height:468;width:32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jc w:val="center"/>
                      <w:textAlignment w:val="auto"/>
                      <w:rPr>
                        <w:rFonts w:hint="eastAsia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应急响应</w:t>
                    </w:r>
                  </w:p>
                </w:txbxContent>
              </v:textbox>
            </v:shape>
            <v:shape id="AutoShape 326" o:spid="_x0000_s2067" o:spt="176" type="#_x0000_t176" style="position:absolute;left:540;top:6813;height:4976;width:4097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</v:shape>
            <v:shape id="AutoShape 327" o:spid="_x0000_s2068" o:spt="109" type="#_x0000_t109" style="position:absolute;left:1440;top:7740;height:2028;width:144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医疗救治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现场控制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事件调查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产品控制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信息管理</w:t>
                    </w:r>
                  </w:p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……</w:t>
                    </w:r>
                  </w:p>
                </w:txbxContent>
              </v:textbox>
            </v:shape>
            <v:shape id="AutoShape 328" o:spid="_x0000_s2069" o:spt="109" type="#_x0000_t109" style="position:absolute;left:720;top:7044;height:469;width:288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jc w:val="center"/>
                      <w:textAlignment w:va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市药品安全突发事件应急指挥部</w:t>
                    </w:r>
                  </w:p>
                </w:txbxContent>
              </v:textbox>
            </v:shape>
            <v:shape id="AutoShape 329" o:spid="_x0000_s2070" o:spt="109" type="#_x0000_t109" style="position:absolute;left:1440;top:9969;height:468;width:144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响应终止</w:t>
                    </w:r>
                  </w:p>
                </w:txbxContent>
              </v:textbox>
            </v:shape>
            <v:shape id="AutoShape 330" o:spid="_x0000_s2071" o:spt="109" type="#_x0000_t109" style="position:absolute;left:1440;top:10653;height:469;width:144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善后处理</w:t>
                    </w:r>
                  </w:p>
                </w:txbxContent>
              </v:textbox>
            </v:shape>
            <v:shape id="AutoShape 331" o:spid="_x0000_s2072" o:spt="109" type="#_x0000_t109" style="position:absolute;left:1440;top:11277;height:426;width:144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总结评估</w:t>
                    </w:r>
                  </w:p>
                </w:txbxContent>
              </v:textbox>
            </v:shape>
            <v:shape id="AutoShape 332" o:spid="_x0000_s2073" o:spt="109" type="#_x0000_t109" style="position:absolute;left:3600;top:7710;height:3900;width:5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信   息   发   布</w:t>
                    </w:r>
                  </w:p>
                </w:txbxContent>
              </v:textbox>
            </v:shape>
            <v:shape id="AutoShape 333" o:spid="_x0000_s2074" o:spt="32" type="#_x0000_t32" style="position:absolute;left:2160;top:7513;height:227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334" o:spid="_x0000_s2075" o:spt="32" type="#_x0000_t32" style="position:absolute;left:2161;top:9768;height:201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335" o:spid="_x0000_s2076" o:spt="32" type="#_x0000_t32" style="position:absolute;left:2161;top:10437;height:216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336" o:spid="_x0000_s2077" o:spt="32" type="#_x0000_t32" style="position:absolute;left:2161;top:11122;height:155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337" o:spid="_x0000_s2078" o:spt="109" type="#_x0000_t109" style="position:absolute;left:5760;top:1782;height:1248;width:23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自治区药品安全突发事件应急指挥部</w:t>
                    </w:r>
                  </w:p>
                </w:txbxContent>
              </v:textbox>
            </v:shape>
            <v:shape id="AutoShape 338" o:spid="_x0000_s2079" o:spt="109" type="#_x0000_t109" style="position:absolute;left:5760;top:3378;height:1092;width:23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崇左市药品安全突发事件应急指挥部</w:t>
                    </w:r>
                  </w:p>
                  <w:p/>
                </w:txbxContent>
              </v:textbox>
            </v:shape>
            <v:line id="Line 339" o:spid="_x0000_s2080" o:spt="20" style="position:absolute;left:2880;top:9582;height:1;width:72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0" o:spid="_x0000_s2081" o:spt="20" style="position:absolute;left:2880;top:10126;height:1;width:72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1" o:spid="_x0000_s2082" o:spt="20" style="position:absolute;left:2880;top:10774;height:1;width:72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3" o:spid="_x0000_s2083" o:spt="20" style="position:absolute;left:4397;top:3910;height:1;width:1363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4" o:spid="_x0000_s2084" o:spt="20" style="position:absolute;left:6840;top:3030;flip:y;height:312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5" o:spid="_x0000_s2085" o:spt="20" style="position:absolute;left:6840;top:1470;flip:y;height:312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46" o:spid="_x0000_s2086" o:spt="20" style="position:absolute;left:8100;top:1002;height:0;width:540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line id="Line 347" o:spid="_x0000_s2087" o:spt="20" style="position:absolute;left:8100;top:2406;height:0;width:540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line id="Line 348" o:spid="_x0000_s2088" o:spt="20" style="position:absolute;left:8100;top:3966;height:0;width:540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line id="Line 349" o:spid="_x0000_s2089" o:spt="20" style="position:absolute;left:9053;top:4410;flip:y;height:3744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0" o:spid="_x0000_s2090" o:spt="20" style="position:absolute;left:4637;top:9582;flip:y;height:1;width:4003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1" o:spid="_x0000_s2091" o:spt="20" style="position:absolute;left:2512;top:604;height:31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2" o:spid="_x0000_s2092" o:spt="20" style="position:absolute;left:2513;top:2008;height:31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3" o:spid="_x0000_s2093" o:spt="20" style="position:absolute;left:2520;top:3066;height:31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4" o:spid="_x0000_s2094" o:spt="20" style="position:absolute;left:2520;top:4560;height:46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5" o:spid="_x0000_s2095" o:spt="20" style="position:absolute;left:2516;top:5559;height:30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6" o:spid="_x0000_s2096" o:spt="20" style="position:absolute;left:2514;top:6411;height:40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357" o:spid="_x0000_s2097" o:spt="20" style="position:absolute;left:1440;top:8127;height:1;width:144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58" o:spid="_x0000_s2098" o:spt="20" style="position:absolute;left:1440;top:8445;height:1;width:144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59" o:spid="_x0000_s2099" o:spt="20" style="position:absolute;left:1440;top:8757;height:1;width:144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60" o:spid="_x0000_s2100" o:spt="20" style="position:absolute;left:1440;top:9069;height:1;width:144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61" o:spid="_x0000_s2101" o:spt="20" style="position:absolute;left:1440;top:9411;height:1;width:144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AutoShape 457" o:spid="_x0000_s2102" o:spt="32" type="#_x0000_t32" style="position:absolute;left:8919;top:4410;flip:y;height:24;width:135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458" o:spid="_x0000_s2103" o:spt="32" type="#_x0000_t32" style="position:absolute;left:8919;top:4434;height:2886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460" o:spid="_x0000_s2104" o:spt="32" type="#_x0000_t32" style="position:absolute;left:8100;top:5252;flip:x;height:1;width:819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Text Box 462" o:spid="_x0000_s2105" o:spt="202" type="#_x0000_t202" style="position:absolute;left:6505;top:5028;height:449;width:159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80" w:lineRule="exact"/>
                      <w:textAlignment w:val="auto"/>
                    </w:pPr>
                    <w:r>
                      <w:rPr>
                        <w:rFonts w:hint="eastAsia"/>
                      </w:rPr>
                      <w:t>响应级别较低</w:t>
                    </w:r>
                  </w:p>
                </w:txbxContent>
              </v:textbox>
            </v:shape>
            <v:shape id="AutoShape 463" o:spid="_x0000_s2106" o:spt="32" type="#_x0000_t32" style="position:absolute;left:4140;top:5253;flip:x;height:8;width:236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AutoShape 465" o:spid="_x0000_s2107" o:spt="32" type="#_x0000_t32" style="position:absolute;left:4637;top:7320;flip:x;height:0;width:428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Text Box 467" o:spid="_x0000_s2108" o:spt="202" type="#_x0000_t202" style="position:absolute;left:5464;top:6813;height:424;width:221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配合Ⅰ、Ⅱ、Ⅲ级响应</w:t>
                    </w:r>
                  </w:p>
                  <w:p/>
                </w:txbxContent>
              </v:textbox>
            </v:shap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凭祥市药品安全突发事件应急指挥部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组织结构图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  <w:r>
        <w:rPr>
          <w:spacing w:val="0"/>
        </w:rPr>
        <w:pict>
          <v:group id="Group 362" o:spid="_x0000_s2109" o:spt="203" style="height:517.85pt;width:475.95pt;" coordsize="9519,10452">
            <o:lock v:ext="edit" grouping="f" rotation="f" aspectratio="f"/>
            <v:shape id="Picture 363" o:spid="_x0000_s2110" o:spt="75" type="#_x0000_t75" style="position:absolute;left:0;top:0;height:10452;width:9519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AutoShape 364" o:spid="_x0000_s2111" o:spt="109" type="#_x0000_t109" style="position:absolute;left:2932;top:468;height:469;width:32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市人民政府</w:t>
                    </w:r>
                  </w:p>
                </w:txbxContent>
              </v:textbox>
            </v:shape>
            <v:shape id="AutoShape 365" o:spid="_x0000_s2112" o:spt="109" type="#_x0000_t109" style="position:absolute;left:2932;top:1560;height:781;width:324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药品安全突发事件应急指挥部</w:t>
                    </w:r>
                  </w:p>
                </w:txbxContent>
              </v:textbox>
            </v:shape>
            <v:shape id="AutoShape 366" o:spid="_x0000_s2113" o:spt="109" type="#_x0000_t109" style="position:absolute;left:1672;top:2652;height:623;width:216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jc w:val="center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t>指挥部办公室</w:t>
                    </w:r>
                  </w:p>
                </w:txbxContent>
              </v:textbox>
            </v:shape>
            <v:shape id="AutoShape 367" o:spid="_x0000_s2114" o:spt="109" type="#_x0000_t109" style="position:absolute;left:953;top:4056;height:1404;width:898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综合协调组</w:t>
                    </w:r>
                  </w:p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AutoShape 368" o:spid="_x0000_s2115" o:spt="109" type="#_x0000_t109" style="position:absolute;left:2032;top:4056;height:140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医疗救治组</w:t>
                    </w:r>
                  </w:p>
                </w:txbxContent>
              </v:textbox>
            </v:shape>
            <v:shape id="AutoShape 369" o:spid="_x0000_s2116" o:spt="109" type="#_x0000_t109" style="position:absolute;left:3112;top:4056;height:140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事件调查组</w:t>
                    </w:r>
                  </w:p>
                </w:txbxContent>
              </v:textbox>
            </v:shape>
            <v:shape id="AutoShape 370" o:spid="_x0000_s2117" o:spt="109" type="#_x0000_t109" style="position:absolute;left:5272;top:4056;height:1404;width:897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新闻宣传组</w:t>
                    </w:r>
                  </w:p>
                  <w:p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</w:p>
                </w:txbxContent>
              </v:textbox>
            </v:shape>
            <v:shape id="AutoShape 371" o:spid="_x0000_s2118" o:spt="109" type="#_x0000_t109" style="position:absolute;left:6352;top:4056;height:140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社会治安组</w:t>
                    </w:r>
                  </w:p>
                </w:txbxContent>
              </v:textbox>
            </v:shape>
            <v:shape id="AutoShape 372" o:spid="_x0000_s2119" o:spt="109" type="#_x0000_t109" style="position:absolute;left:7432;top:4056;height:140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jc w:val="distribute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专家组</w:t>
                    </w:r>
                  </w:p>
                </w:txbxContent>
              </v:textbox>
            </v:shape>
            <v:shape id="AutoShape 373" o:spid="_x0000_s2120" o:spt="109" type="#_x0000_t109" style="position:absolute;left:953;top:6225;height:3744;width:899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 w:eastAsia="宋体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Cs w:val="21"/>
                        <w:lang w:eastAsia="zh-CN"/>
                      </w:rPr>
                      <w:t>市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场</w:t>
                    </w:r>
                    <w:r>
                      <w:rPr>
                        <w:rFonts w:hint="eastAsia"/>
                        <w:szCs w:val="21"/>
                      </w:rPr>
                      <w:t>监督管理局牵头，市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直</w:t>
                    </w:r>
                    <w:r>
                      <w:rPr>
                        <w:rFonts w:hint="eastAsia"/>
                        <w:szCs w:val="21"/>
                      </w:rPr>
                      <w:t>相关部门，事发地人民政府等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参加</w:t>
                    </w:r>
                  </w:p>
                </w:txbxContent>
              </v:textbox>
            </v:shape>
            <v:shape id="AutoShape 374" o:spid="_x0000_s2121" o:spt="109" type="#_x0000_t109" style="position:absolute;left:7432;top:6240;height:3745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Cs w:val="21"/>
                        <w:lang w:eastAsia="zh-CN"/>
                      </w:rPr>
                      <w:t>市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场</w:t>
                    </w:r>
                    <w:r>
                      <w:rPr>
                        <w:rFonts w:hint="eastAsia"/>
                        <w:szCs w:val="21"/>
                      </w:rPr>
                      <w:t>监督管理局牵头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  <w:lang w:eastAsia="zh-CN"/>
                      </w:rPr>
                      <w:t>市卫健局及</w:t>
                    </w:r>
                    <w:r>
                      <w:rPr>
                        <w:rFonts w:hint="eastAsia"/>
                      </w:rPr>
                      <w:t>相关部门</w:t>
                    </w:r>
                    <w:r>
                      <w:rPr>
                        <w:rFonts w:hint="eastAsia"/>
                        <w:lang w:eastAsia="zh-CN"/>
                      </w:rPr>
                      <w:t>参加</w:t>
                    </w:r>
                  </w:p>
                  <w:p/>
                </w:txbxContent>
              </v:textbox>
            </v:shape>
            <v:shape id="AutoShape 375" o:spid="_x0000_s2122" o:spt="109" type="#_x0000_t109" style="position:absolute;left:4192;top:4056;height:1404;width:90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产品控制组</w:t>
                    </w:r>
                  </w:p>
                </w:txbxContent>
              </v:textbox>
            </v:shape>
            <v:shape id="AutoShape 376" o:spid="_x0000_s2123" o:spt="109" type="#_x0000_t109" style="position:absolute;left:2032;top:6240;height:3742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</w:rPr>
                      <w:t>市</w:t>
                    </w:r>
                    <w:r>
                      <w:rPr>
                        <w:rFonts w:hint="eastAsia"/>
                        <w:lang w:eastAsia="zh-CN"/>
                      </w:rPr>
                      <w:t>卫健</w:t>
                    </w:r>
                    <w:r>
                      <w:rPr>
                        <w:rFonts w:hint="eastAsia"/>
                      </w:rPr>
                      <w:t>局牵头，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直</w:t>
                    </w:r>
                    <w:r>
                      <w:rPr>
                        <w:rFonts w:hint="eastAsia"/>
                        <w:szCs w:val="21"/>
                      </w:rPr>
                      <w:t>相关部门，</w:t>
                    </w:r>
                    <w:r>
                      <w:rPr>
                        <w:rFonts w:hint="eastAsia"/>
                      </w:rPr>
                      <w:t>事发地人民政府</w:t>
                    </w:r>
                    <w:r>
                      <w:rPr>
                        <w:rFonts w:hint="eastAsia"/>
                        <w:lang w:eastAsia="zh-CN"/>
                      </w:rPr>
                      <w:t>等参加</w:t>
                    </w:r>
                  </w:p>
                  <w:p/>
                </w:txbxContent>
              </v:textbox>
            </v:shape>
            <v:shape id="AutoShape 377" o:spid="_x0000_s2124" o:spt="109" type="#_x0000_t109" style="position:absolute;left:3112;top:6240;height:3742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Cs w:val="21"/>
                        <w:lang w:eastAsia="zh-CN"/>
                      </w:rPr>
                      <w:t>市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场</w:t>
                    </w:r>
                    <w:r>
                      <w:rPr>
                        <w:rFonts w:hint="eastAsia"/>
                        <w:szCs w:val="21"/>
                      </w:rPr>
                      <w:t>监督管理局牵头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  <w:lang w:eastAsia="zh-CN"/>
                      </w:rPr>
                      <w:t>市卫健局</w:t>
                    </w:r>
                    <w:r>
                      <w:rPr>
                        <w:rFonts w:hint="eastAsia"/>
                      </w:rPr>
                      <w:t>、公安局及相关部</w:t>
                    </w:r>
                    <w:r>
                      <w:rPr>
                        <w:rFonts w:hint="eastAsia"/>
                        <w:lang w:eastAsia="zh-CN"/>
                      </w:rPr>
                      <w:t>参加</w:t>
                    </w:r>
                    <w:r>
                      <w:rPr>
                        <w:rFonts w:hint="eastAsia"/>
                      </w:rPr>
                      <w:t>门</w:t>
                    </w:r>
                  </w:p>
                  <w:p/>
                </w:txbxContent>
              </v:textbox>
            </v:shape>
            <v:shape id="AutoShape 378" o:spid="_x0000_s2125" o:spt="109" type="#_x0000_t109" style="position:absolute;left:4192;top:6240;height:3742;width:90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r>
                      <w:rPr>
                        <w:rFonts w:hint="eastAsia"/>
                        <w:szCs w:val="21"/>
                        <w:lang w:eastAsia="zh-CN"/>
                      </w:rPr>
                      <w:t>市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场</w:t>
                    </w:r>
                    <w:r>
                      <w:rPr>
                        <w:rFonts w:hint="eastAsia"/>
                        <w:szCs w:val="21"/>
                      </w:rPr>
                      <w:t>监督管理局牵头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  <w:lang w:eastAsia="zh-CN"/>
                      </w:rPr>
                      <w:t>市卫健局</w:t>
                    </w:r>
                    <w:r>
                      <w:rPr>
                        <w:rFonts w:hint="eastAsia"/>
                      </w:rPr>
                      <w:t>、公安局及相关部</w:t>
                    </w:r>
                    <w:r>
                      <w:rPr>
                        <w:rFonts w:hint="eastAsia"/>
                        <w:lang w:eastAsia="zh-CN"/>
                      </w:rPr>
                      <w:t>参加</w:t>
                    </w:r>
                    <w:r>
                      <w:rPr>
                        <w:rFonts w:hint="eastAsia"/>
                      </w:rPr>
                      <w:t>门</w:t>
                    </w:r>
                  </w:p>
                </w:txbxContent>
              </v:textbox>
            </v:shape>
            <v:shape id="AutoShape 379" o:spid="_x0000_s2126" o:spt="109" type="#_x0000_t109" style="position:absolute;left:6352;top:6240;height:374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r>
                      <w:rPr>
                        <w:rFonts w:hint="eastAsia"/>
                      </w:rPr>
                      <w:t>市公安局牵头，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直</w:t>
                    </w:r>
                    <w:r>
                      <w:rPr>
                        <w:rFonts w:hint="eastAsia"/>
                        <w:szCs w:val="21"/>
                      </w:rPr>
                      <w:t>相关部门，</w:t>
                    </w:r>
                    <w:r>
                      <w:rPr>
                        <w:rFonts w:hint="eastAsia"/>
                      </w:rPr>
                      <w:t>事发地人民政府</w:t>
                    </w:r>
                    <w:r>
                      <w:rPr>
                        <w:rFonts w:hint="eastAsia"/>
                        <w:lang w:eastAsia="zh-CN"/>
                      </w:rPr>
                      <w:t>等参加</w:t>
                    </w:r>
                  </w:p>
                </w:txbxContent>
              </v:textbox>
            </v:shape>
            <v:shape id="AutoShape 380" o:spid="_x0000_s2127" o:spt="109" type="#_x0000_t109" style="position:absolute;left:5272;top:6240;height:3744;width:9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Cs w:val="21"/>
                        <w:lang w:eastAsia="zh-CN"/>
                      </w:rPr>
                      <w:t>市</w:t>
                    </w:r>
                    <w:r>
                      <w:rPr>
                        <w:rFonts w:hint="eastAsia"/>
                        <w:szCs w:val="21"/>
                      </w:rPr>
                      <w:t>市</w:t>
                    </w:r>
                    <w:r>
                      <w:rPr>
                        <w:rFonts w:hint="eastAsia"/>
                        <w:szCs w:val="21"/>
                        <w:lang w:eastAsia="zh-CN"/>
                      </w:rPr>
                      <w:t>场</w:t>
                    </w:r>
                    <w:r>
                      <w:rPr>
                        <w:rFonts w:hint="eastAsia"/>
                        <w:szCs w:val="21"/>
                      </w:rPr>
                      <w:t>监督管理局牵头</w: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市委宣传部及相</w:t>
                    </w:r>
                    <w:r>
                      <w:rPr>
                        <w:rFonts w:hint="eastAsia"/>
                      </w:rPr>
                      <w:t>关部门</w:t>
                    </w:r>
                    <w:r>
                      <w:rPr>
                        <w:rFonts w:hint="eastAsia"/>
                        <w:lang w:eastAsia="zh-CN"/>
                      </w:rPr>
                      <w:t>参加</w:t>
                    </w:r>
                  </w:p>
                  <w:p/>
                </w:txbxContent>
              </v:textbox>
            </v:shape>
            <v:line id="Line 381" o:spid="_x0000_s2128" o:spt="20" style="position:absolute;left:4552;top:936;height:624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82" o:spid="_x0000_s2129" o:spt="20" style="position:absolute;left:4552;top:2340;height:1716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83" o:spid="_x0000_s2130" o:spt="20" style="position:absolute;left:3832;top:2964;height:1;width:72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AutoShape 384" o:spid="_x0000_s2131" o:spt="32" type="#_x0000_t32" style="position:absolute;left:1402;top:5460;height:765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85" o:spid="_x0000_s2132" o:spt="32" type="#_x0000_t32" style="position:absolute;left:2482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86" o:spid="_x0000_s2133" o:spt="32" type="#_x0000_t32" style="position:absolute;left:3562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87" o:spid="_x0000_s2134" o:spt="32" type="#_x0000_t32" style="position:absolute;left:4643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88" o:spid="_x0000_s2135" o:spt="32" type="#_x0000_t32" style="position:absolute;left:5721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89" o:spid="_x0000_s2136" o:spt="32" type="#_x0000_t32" style="position:absolute;left:6802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AutoShape 390" o:spid="_x0000_s2137" o:spt="32" type="#_x0000_t32" style="position:absolute;left:7882;top:5460;height:78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line id="Line 391" o:spid="_x0000_s2138" o:spt="20" style="position:absolute;left:2452;top:3588;flip:y;height:46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92" o:spid="_x0000_s2139" o:spt="20" style="position:absolute;left:3547;top:3588;flip:y;height:46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93" o:spid="_x0000_s2140" o:spt="20" style="position:absolute;left:5707;top:3588;height:46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Line 394" o:spid="_x0000_s2141" o:spt="20" style="position:absolute;left:6787;top:3588;height:46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shape id="AutoShape 395" o:spid="_x0000_s2142" o:spt="33" type="#_x0000_t33" style="position:absolute;left:4363;top:627;height:6390;width:468;rotation:-5898240f;" filled="f" stroked="t" coordsize="21600,21600">
              <v:path arrowok="t"/>
              <v:fill on="f" focussize="0,0"/>
              <v:stroke color="#000000" joinstyle="miter"/>
              <v:imagedata o:title=""/>
              <o:lock v:ext="edit" aspectratio="f"/>
            </v:shape>
            <v:line id="Line 396" o:spid="_x0000_s2143" o:spt="20" style="position:absolute;left:7807;top:3588;height:46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" w:lineRule="exact"/>
        <w:textAlignment w:val="auto"/>
        <w:rPr>
          <w:spacing w:val="0"/>
          <w:u w:val="single"/>
        </w:rPr>
      </w:pPr>
    </w:p>
    <w:p>
      <w:pPr>
        <w:pStyle w:val="2"/>
      </w:pPr>
      <w:bookmarkStart w:id="0" w:name="_GoBack"/>
      <w:bookmarkEnd w:id="0"/>
      <w:r>
        <w:rPr>
          <w:rFonts w:ascii="仿宋_GB2312" w:hAnsi="仿宋_GB2312" w:eastAsia="仿宋_GB2312" w:cs="仿宋_GB2312"/>
        </w:rPr>
        <w:pict>
          <v:shape id="_x0000_s1026" o:spid="_x0000_s1026" o:spt="32" type="#_x0000_t32" style="position:absolute;left:0pt;margin-left:-22.3pt;margin-top:497.15pt;height:0pt;width:35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sectPr>
      <w:pgSz w:w="11906" w:h="16838"/>
      <w:pgMar w:top="1134" w:right="0" w:bottom="1134" w:left="28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17"/>
        <w:tab w:val="clear" w:pos="4153"/>
      </w:tabs>
      <w:ind w:right="360"/>
      <w:rPr>
        <w:rFonts w:hint="eastAsia" w:eastAsia="宋体"/>
        <w:lang w:eastAsia="zh-CN"/>
      </w:rPr>
    </w:pPr>
    <w:r>
      <w:rPr>
        <w:sz w:val="18"/>
      </w:rPr>
      <w:pict>
        <v:shape id="文本框 2049" o:spid="_x0000_s3073" o:spt="202" type="#_x0000_t202" style="position:absolute;left:0pt;margin-top:-5.95pt;height:24.1pt;width:62.4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仿宋_GB2312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eastAsia="仿宋_GB2312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仿宋_GB2312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文本框 2050" o:spid="_x0000_s3074" o:spt="202" type="#_x0000_t202" style="position:absolute;left:0pt;margin-top:-3.75pt;height:21.9pt;width:58.7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_x0000_s3075" o:spid="_x0000_s3075" o:spt="202" type="#_x0000_t202" style="position:absolute;left:0pt;margin-top:0pt;height:18.15pt;width:59.65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- 28 -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101"/>
    <w:rsid w:val="00013E69"/>
    <w:rsid w:val="000203A7"/>
    <w:rsid w:val="00020993"/>
    <w:rsid w:val="00023EFC"/>
    <w:rsid w:val="00031DAA"/>
    <w:rsid w:val="00032811"/>
    <w:rsid w:val="000340EE"/>
    <w:rsid w:val="00043756"/>
    <w:rsid w:val="00052521"/>
    <w:rsid w:val="00053FC8"/>
    <w:rsid w:val="00056876"/>
    <w:rsid w:val="00063FC2"/>
    <w:rsid w:val="000650B9"/>
    <w:rsid w:val="00067605"/>
    <w:rsid w:val="000710B9"/>
    <w:rsid w:val="00076911"/>
    <w:rsid w:val="00082B87"/>
    <w:rsid w:val="000940F2"/>
    <w:rsid w:val="0009458B"/>
    <w:rsid w:val="00096282"/>
    <w:rsid w:val="00096E6E"/>
    <w:rsid w:val="000A562F"/>
    <w:rsid w:val="000B0AE2"/>
    <w:rsid w:val="000B5B45"/>
    <w:rsid w:val="000D2C23"/>
    <w:rsid w:val="000D53BD"/>
    <w:rsid w:val="000D75CD"/>
    <w:rsid w:val="000E4BFD"/>
    <w:rsid w:val="000E6446"/>
    <w:rsid w:val="000F17AD"/>
    <w:rsid w:val="000F4004"/>
    <w:rsid w:val="000F5D51"/>
    <w:rsid w:val="00103A87"/>
    <w:rsid w:val="001054F7"/>
    <w:rsid w:val="00106137"/>
    <w:rsid w:val="00107467"/>
    <w:rsid w:val="001174AF"/>
    <w:rsid w:val="00117770"/>
    <w:rsid w:val="00120AF4"/>
    <w:rsid w:val="0012338E"/>
    <w:rsid w:val="00127C68"/>
    <w:rsid w:val="0013175E"/>
    <w:rsid w:val="00143CC2"/>
    <w:rsid w:val="001549B5"/>
    <w:rsid w:val="00164679"/>
    <w:rsid w:val="00170ACB"/>
    <w:rsid w:val="00176E0B"/>
    <w:rsid w:val="00177541"/>
    <w:rsid w:val="00187922"/>
    <w:rsid w:val="00194376"/>
    <w:rsid w:val="00195E66"/>
    <w:rsid w:val="001962C4"/>
    <w:rsid w:val="001A6943"/>
    <w:rsid w:val="001B5A91"/>
    <w:rsid w:val="001C2E21"/>
    <w:rsid w:val="001C3A88"/>
    <w:rsid w:val="001C71E3"/>
    <w:rsid w:val="001D1EB7"/>
    <w:rsid w:val="001D4CA4"/>
    <w:rsid w:val="001E0B9F"/>
    <w:rsid w:val="001E4A84"/>
    <w:rsid w:val="001F248E"/>
    <w:rsid w:val="001F5C94"/>
    <w:rsid w:val="00203648"/>
    <w:rsid w:val="0020437E"/>
    <w:rsid w:val="00207A0A"/>
    <w:rsid w:val="0021345E"/>
    <w:rsid w:val="0022411C"/>
    <w:rsid w:val="00225CD7"/>
    <w:rsid w:val="00230B55"/>
    <w:rsid w:val="00234C9E"/>
    <w:rsid w:val="0023688C"/>
    <w:rsid w:val="00243652"/>
    <w:rsid w:val="002468D1"/>
    <w:rsid w:val="002529BA"/>
    <w:rsid w:val="00252EE8"/>
    <w:rsid w:val="002602E7"/>
    <w:rsid w:val="00266D8E"/>
    <w:rsid w:val="00283A90"/>
    <w:rsid w:val="00284101"/>
    <w:rsid w:val="0028557E"/>
    <w:rsid w:val="002919D1"/>
    <w:rsid w:val="00293E91"/>
    <w:rsid w:val="00295F35"/>
    <w:rsid w:val="002964D7"/>
    <w:rsid w:val="00296828"/>
    <w:rsid w:val="002A0517"/>
    <w:rsid w:val="002A3BFD"/>
    <w:rsid w:val="002A438B"/>
    <w:rsid w:val="002A492A"/>
    <w:rsid w:val="002B3318"/>
    <w:rsid w:val="002B3CA4"/>
    <w:rsid w:val="002C0104"/>
    <w:rsid w:val="002C21AC"/>
    <w:rsid w:val="002D79C8"/>
    <w:rsid w:val="002E1863"/>
    <w:rsid w:val="002E5E65"/>
    <w:rsid w:val="002F17FF"/>
    <w:rsid w:val="0030366B"/>
    <w:rsid w:val="00305322"/>
    <w:rsid w:val="00307BE2"/>
    <w:rsid w:val="00312397"/>
    <w:rsid w:val="00315A29"/>
    <w:rsid w:val="00320E0E"/>
    <w:rsid w:val="003233B5"/>
    <w:rsid w:val="00346438"/>
    <w:rsid w:val="0035202C"/>
    <w:rsid w:val="0035204C"/>
    <w:rsid w:val="003600BB"/>
    <w:rsid w:val="003625C9"/>
    <w:rsid w:val="003629A6"/>
    <w:rsid w:val="00372118"/>
    <w:rsid w:val="003724D4"/>
    <w:rsid w:val="00376481"/>
    <w:rsid w:val="00383FBF"/>
    <w:rsid w:val="003937C1"/>
    <w:rsid w:val="003951C4"/>
    <w:rsid w:val="003A6B4E"/>
    <w:rsid w:val="003A754D"/>
    <w:rsid w:val="003A7D4A"/>
    <w:rsid w:val="003B1EDB"/>
    <w:rsid w:val="003D11F6"/>
    <w:rsid w:val="003D20FE"/>
    <w:rsid w:val="003D4B75"/>
    <w:rsid w:val="003E2AC1"/>
    <w:rsid w:val="003E3034"/>
    <w:rsid w:val="003E354A"/>
    <w:rsid w:val="003E4478"/>
    <w:rsid w:val="003E5BD3"/>
    <w:rsid w:val="003F121F"/>
    <w:rsid w:val="00401630"/>
    <w:rsid w:val="0040538C"/>
    <w:rsid w:val="00416688"/>
    <w:rsid w:val="00417BAE"/>
    <w:rsid w:val="00426FB3"/>
    <w:rsid w:val="00427DB0"/>
    <w:rsid w:val="00440DDC"/>
    <w:rsid w:val="0045047B"/>
    <w:rsid w:val="004648E0"/>
    <w:rsid w:val="00465A33"/>
    <w:rsid w:val="00473206"/>
    <w:rsid w:val="004746D1"/>
    <w:rsid w:val="00476464"/>
    <w:rsid w:val="00477409"/>
    <w:rsid w:val="0048247E"/>
    <w:rsid w:val="00494437"/>
    <w:rsid w:val="004A1D18"/>
    <w:rsid w:val="004A464C"/>
    <w:rsid w:val="004B0EAF"/>
    <w:rsid w:val="004B2840"/>
    <w:rsid w:val="004B2C53"/>
    <w:rsid w:val="004B4CB2"/>
    <w:rsid w:val="004B7FEB"/>
    <w:rsid w:val="004C4BAC"/>
    <w:rsid w:val="004D325D"/>
    <w:rsid w:val="004D744D"/>
    <w:rsid w:val="004E6E3A"/>
    <w:rsid w:val="004F19C8"/>
    <w:rsid w:val="00500E4C"/>
    <w:rsid w:val="00501D34"/>
    <w:rsid w:val="00503643"/>
    <w:rsid w:val="00503866"/>
    <w:rsid w:val="0050606D"/>
    <w:rsid w:val="00511AE7"/>
    <w:rsid w:val="00523CC8"/>
    <w:rsid w:val="005277C0"/>
    <w:rsid w:val="00527FE2"/>
    <w:rsid w:val="00537474"/>
    <w:rsid w:val="00540168"/>
    <w:rsid w:val="00544B51"/>
    <w:rsid w:val="00544F12"/>
    <w:rsid w:val="00552655"/>
    <w:rsid w:val="005603B3"/>
    <w:rsid w:val="005614E2"/>
    <w:rsid w:val="0056150C"/>
    <w:rsid w:val="00561F35"/>
    <w:rsid w:val="0056200B"/>
    <w:rsid w:val="0057041F"/>
    <w:rsid w:val="00572998"/>
    <w:rsid w:val="00572EF0"/>
    <w:rsid w:val="00573063"/>
    <w:rsid w:val="0057626D"/>
    <w:rsid w:val="005803DF"/>
    <w:rsid w:val="00593610"/>
    <w:rsid w:val="005972B3"/>
    <w:rsid w:val="005A21EA"/>
    <w:rsid w:val="005A40CF"/>
    <w:rsid w:val="005B416F"/>
    <w:rsid w:val="005B754C"/>
    <w:rsid w:val="005C03FF"/>
    <w:rsid w:val="005C0FDA"/>
    <w:rsid w:val="005C303C"/>
    <w:rsid w:val="005C362D"/>
    <w:rsid w:val="005C581B"/>
    <w:rsid w:val="005D2143"/>
    <w:rsid w:val="005D71E1"/>
    <w:rsid w:val="005E113B"/>
    <w:rsid w:val="005E4055"/>
    <w:rsid w:val="005E5036"/>
    <w:rsid w:val="005E62A7"/>
    <w:rsid w:val="005E63A7"/>
    <w:rsid w:val="005E657E"/>
    <w:rsid w:val="005F15A9"/>
    <w:rsid w:val="005F2583"/>
    <w:rsid w:val="005F3B6F"/>
    <w:rsid w:val="005F5CFC"/>
    <w:rsid w:val="00611563"/>
    <w:rsid w:val="00612BD3"/>
    <w:rsid w:val="00613EE0"/>
    <w:rsid w:val="0061671F"/>
    <w:rsid w:val="0062120E"/>
    <w:rsid w:val="00621D41"/>
    <w:rsid w:val="00623A92"/>
    <w:rsid w:val="006269FB"/>
    <w:rsid w:val="00626BEE"/>
    <w:rsid w:val="0063210D"/>
    <w:rsid w:val="00633F77"/>
    <w:rsid w:val="006359E7"/>
    <w:rsid w:val="00653019"/>
    <w:rsid w:val="006579BD"/>
    <w:rsid w:val="006607F3"/>
    <w:rsid w:val="00661F4C"/>
    <w:rsid w:val="00662924"/>
    <w:rsid w:val="00662A12"/>
    <w:rsid w:val="00671EFA"/>
    <w:rsid w:val="00676084"/>
    <w:rsid w:val="00677E94"/>
    <w:rsid w:val="0068702F"/>
    <w:rsid w:val="00690C5F"/>
    <w:rsid w:val="006A01E2"/>
    <w:rsid w:val="006A2295"/>
    <w:rsid w:val="006B178A"/>
    <w:rsid w:val="006B467F"/>
    <w:rsid w:val="006C1198"/>
    <w:rsid w:val="006D1F22"/>
    <w:rsid w:val="006D4026"/>
    <w:rsid w:val="006D6AFA"/>
    <w:rsid w:val="006E3B2D"/>
    <w:rsid w:val="006E7234"/>
    <w:rsid w:val="006F1D32"/>
    <w:rsid w:val="006F706D"/>
    <w:rsid w:val="00706321"/>
    <w:rsid w:val="007170B7"/>
    <w:rsid w:val="00721460"/>
    <w:rsid w:val="00724925"/>
    <w:rsid w:val="007363B2"/>
    <w:rsid w:val="007442AA"/>
    <w:rsid w:val="007444F6"/>
    <w:rsid w:val="00745600"/>
    <w:rsid w:val="0075088B"/>
    <w:rsid w:val="007527A1"/>
    <w:rsid w:val="007606E2"/>
    <w:rsid w:val="0076171E"/>
    <w:rsid w:val="00761B3D"/>
    <w:rsid w:val="007657E8"/>
    <w:rsid w:val="00766093"/>
    <w:rsid w:val="0076728F"/>
    <w:rsid w:val="00773DB0"/>
    <w:rsid w:val="00780C53"/>
    <w:rsid w:val="007934A9"/>
    <w:rsid w:val="0079379F"/>
    <w:rsid w:val="00795D21"/>
    <w:rsid w:val="00796FF2"/>
    <w:rsid w:val="007B2211"/>
    <w:rsid w:val="007B44AE"/>
    <w:rsid w:val="007B55EC"/>
    <w:rsid w:val="007B5FA3"/>
    <w:rsid w:val="007C6950"/>
    <w:rsid w:val="007D0C01"/>
    <w:rsid w:val="007D26B6"/>
    <w:rsid w:val="007D5426"/>
    <w:rsid w:val="007D54E9"/>
    <w:rsid w:val="007E1A95"/>
    <w:rsid w:val="007E23F5"/>
    <w:rsid w:val="007E548D"/>
    <w:rsid w:val="007F4F51"/>
    <w:rsid w:val="00803B57"/>
    <w:rsid w:val="0080525C"/>
    <w:rsid w:val="00815264"/>
    <w:rsid w:val="00820839"/>
    <w:rsid w:val="00835D0F"/>
    <w:rsid w:val="00837855"/>
    <w:rsid w:val="008552BA"/>
    <w:rsid w:val="00855C62"/>
    <w:rsid w:val="00860A2C"/>
    <w:rsid w:val="008617A8"/>
    <w:rsid w:val="0086468C"/>
    <w:rsid w:val="00864CB4"/>
    <w:rsid w:val="00870F61"/>
    <w:rsid w:val="00871546"/>
    <w:rsid w:val="0088581F"/>
    <w:rsid w:val="008900D8"/>
    <w:rsid w:val="00890391"/>
    <w:rsid w:val="008954F3"/>
    <w:rsid w:val="00897958"/>
    <w:rsid w:val="008A0AB4"/>
    <w:rsid w:val="008A6C2E"/>
    <w:rsid w:val="008B3B2E"/>
    <w:rsid w:val="008D0913"/>
    <w:rsid w:val="008D0FE3"/>
    <w:rsid w:val="008D1A4B"/>
    <w:rsid w:val="008D2659"/>
    <w:rsid w:val="008D6BAF"/>
    <w:rsid w:val="008E2B73"/>
    <w:rsid w:val="008E3787"/>
    <w:rsid w:val="008F344F"/>
    <w:rsid w:val="008F3A57"/>
    <w:rsid w:val="009003B3"/>
    <w:rsid w:val="0090167B"/>
    <w:rsid w:val="00906905"/>
    <w:rsid w:val="009155DF"/>
    <w:rsid w:val="00925537"/>
    <w:rsid w:val="00927F47"/>
    <w:rsid w:val="0093377D"/>
    <w:rsid w:val="009360FA"/>
    <w:rsid w:val="00937EA9"/>
    <w:rsid w:val="00941830"/>
    <w:rsid w:val="009419B9"/>
    <w:rsid w:val="009447BD"/>
    <w:rsid w:val="009461AC"/>
    <w:rsid w:val="00954020"/>
    <w:rsid w:val="009575B6"/>
    <w:rsid w:val="00960112"/>
    <w:rsid w:val="00965943"/>
    <w:rsid w:val="00967AAF"/>
    <w:rsid w:val="00972C46"/>
    <w:rsid w:val="0097607D"/>
    <w:rsid w:val="00981450"/>
    <w:rsid w:val="009834EA"/>
    <w:rsid w:val="0099127B"/>
    <w:rsid w:val="009A03DC"/>
    <w:rsid w:val="009A5465"/>
    <w:rsid w:val="009B38BD"/>
    <w:rsid w:val="009C30F5"/>
    <w:rsid w:val="009C4C98"/>
    <w:rsid w:val="009C65BF"/>
    <w:rsid w:val="009D746F"/>
    <w:rsid w:val="009E0168"/>
    <w:rsid w:val="009E040C"/>
    <w:rsid w:val="009E1E42"/>
    <w:rsid w:val="009E42AD"/>
    <w:rsid w:val="009E5CBF"/>
    <w:rsid w:val="009E7A44"/>
    <w:rsid w:val="00A04282"/>
    <w:rsid w:val="00A06173"/>
    <w:rsid w:val="00A1234D"/>
    <w:rsid w:val="00A30097"/>
    <w:rsid w:val="00A35F3A"/>
    <w:rsid w:val="00A37E21"/>
    <w:rsid w:val="00A4529D"/>
    <w:rsid w:val="00A476AF"/>
    <w:rsid w:val="00A54364"/>
    <w:rsid w:val="00A54626"/>
    <w:rsid w:val="00A6759B"/>
    <w:rsid w:val="00A7010C"/>
    <w:rsid w:val="00A7086D"/>
    <w:rsid w:val="00A80F7E"/>
    <w:rsid w:val="00A85D8C"/>
    <w:rsid w:val="00A8721C"/>
    <w:rsid w:val="00A93FB9"/>
    <w:rsid w:val="00AA27A4"/>
    <w:rsid w:val="00AA710E"/>
    <w:rsid w:val="00AA72BC"/>
    <w:rsid w:val="00AB06FB"/>
    <w:rsid w:val="00AB2417"/>
    <w:rsid w:val="00AB7D98"/>
    <w:rsid w:val="00AC0521"/>
    <w:rsid w:val="00AD40A6"/>
    <w:rsid w:val="00AD4C0F"/>
    <w:rsid w:val="00AE0247"/>
    <w:rsid w:val="00B05E6A"/>
    <w:rsid w:val="00B12F6F"/>
    <w:rsid w:val="00B1300B"/>
    <w:rsid w:val="00B16CC8"/>
    <w:rsid w:val="00B1704B"/>
    <w:rsid w:val="00B2151E"/>
    <w:rsid w:val="00B25815"/>
    <w:rsid w:val="00B32F34"/>
    <w:rsid w:val="00B418A1"/>
    <w:rsid w:val="00B45F56"/>
    <w:rsid w:val="00B5115A"/>
    <w:rsid w:val="00B6256C"/>
    <w:rsid w:val="00B74C31"/>
    <w:rsid w:val="00B77025"/>
    <w:rsid w:val="00B81A3B"/>
    <w:rsid w:val="00B94322"/>
    <w:rsid w:val="00BA362A"/>
    <w:rsid w:val="00BA5172"/>
    <w:rsid w:val="00BB40C1"/>
    <w:rsid w:val="00BC6BE3"/>
    <w:rsid w:val="00BC79FD"/>
    <w:rsid w:val="00BD2C4E"/>
    <w:rsid w:val="00BD4E82"/>
    <w:rsid w:val="00BD722B"/>
    <w:rsid w:val="00BE03D0"/>
    <w:rsid w:val="00BE2226"/>
    <w:rsid w:val="00BE3241"/>
    <w:rsid w:val="00BE6127"/>
    <w:rsid w:val="00BF03F7"/>
    <w:rsid w:val="00BF3BBB"/>
    <w:rsid w:val="00C01857"/>
    <w:rsid w:val="00C03D3C"/>
    <w:rsid w:val="00C06C30"/>
    <w:rsid w:val="00C10E9E"/>
    <w:rsid w:val="00C11C1F"/>
    <w:rsid w:val="00C17713"/>
    <w:rsid w:val="00C17A88"/>
    <w:rsid w:val="00C22C83"/>
    <w:rsid w:val="00C25E99"/>
    <w:rsid w:val="00C262A8"/>
    <w:rsid w:val="00C3323D"/>
    <w:rsid w:val="00C3498E"/>
    <w:rsid w:val="00C420A9"/>
    <w:rsid w:val="00C613A6"/>
    <w:rsid w:val="00C641BF"/>
    <w:rsid w:val="00C742B6"/>
    <w:rsid w:val="00C742D0"/>
    <w:rsid w:val="00C83B7E"/>
    <w:rsid w:val="00C857A8"/>
    <w:rsid w:val="00C85B2D"/>
    <w:rsid w:val="00C9195D"/>
    <w:rsid w:val="00CA0BBE"/>
    <w:rsid w:val="00CB68A7"/>
    <w:rsid w:val="00CC22BF"/>
    <w:rsid w:val="00CC700E"/>
    <w:rsid w:val="00CD2070"/>
    <w:rsid w:val="00CD5232"/>
    <w:rsid w:val="00CE3F32"/>
    <w:rsid w:val="00CE47D0"/>
    <w:rsid w:val="00CE736F"/>
    <w:rsid w:val="00CF025C"/>
    <w:rsid w:val="00CF1E10"/>
    <w:rsid w:val="00CF31E7"/>
    <w:rsid w:val="00CF6E4C"/>
    <w:rsid w:val="00D053B9"/>
    <w:rsid w:val="00D068D6"/>
    <w:rsid w:val="00D2118F"/>
    <w:rsid w:val="00D30333"/>
    <w:rsid w:val="00D323EE"/>
    <w:rsid w:val="00D47F49"/>
    <w:rsid w:val="00D539B5"/>
    <w:rsid w:val="00D61A56"/>
    <w:rsid w:val="00D62194"/>
    <w:rsid w:val="00D82251"/>
    <w:rsid w:val="00D83933"/>
    <w:rsid w:val="00DB18DB"/>
    <w:rsid w:val="00DB18E7"/>
    <w:rsid w:val="00DB3EC9"/>
    <w:rsid w:val="00DC5928"/>
    <w:rsid w:val="00DC6D25"/>
    <w:rsid w:val="00DD1F7C"/>
    <w:rsid w:val="00DD2018"/>
    <w:rsid w:val="00DE002F"/>
    <w:rsid w:val="00DE3CEF"/>
    <w:rsid w:val="00E00AA3"/>
    <w:rsid w:val="00E02F75"/>
    <w:rsid w:val="00E054C2"/>
    <w:rsid w:val="00E07674"/>
    <w:rsid w:val="00E11667"/>
    <w:rsid w:val="00E15DDE"/>
    <w:rsid w:val="00E160E2"/>
    <w:rsid w:val="00E17133"/>
    <w:rsid w:val="00E22098"/>
    <w:rsid w:val="00E247E0"/>
    <w:rsid w:val="00E250D0"/>
    <w:rsid w:val="00E5001C"/>
    <w:rsid w:val="00E66F54"/>
    <w:rsid w:val="00E7402F"/>
    <w:rsid w:val="00E8579C"/>
    <w:rsid w:val="00EA4BE3"/>
    <w:rsid w:val="00EA76DE"/>
    <w:rsid w:val="00EB4C2D"/>
    <w:rsid w:val="00EB74E7"/>
    <w:rsid w:val="00EC7566"/>
    <w:rsid w:val="00EE153C"/>
    <w:rsid w:val="00EE50B3"/>
    <w:rsid w:val="00EF53CA"/>
    <w:rsid w:val="00EF660C"/>
    <w:rsid w:val="00EF78D9"/>
    <w:rsid w:val="00F135E6"/>
    <w:rsid w:val="00F168ED"/>
    <w:rsid w:val="00F26DD5"/>
    <w:rsid w:val="00F272B4"/>
    <w:rsid w:val="00F36AC5"/>
    <w:rsid w:val="00F36F3C"/>
    <w:rsid w:val="00F378F2"/>
    <w:rsid w:val="00F4178C"/>
    <w:rsid w:val="00F425A2"/>
    <w:rsid w:val="00F42751"/>
    <w:rsid w:val="00F42AF4"/>
    <w:rsid w:val="00F433BA"/>
    <w:rsid w:val="00F45140"/>
    <w:rsid w:val="00F46F56"/>
    <w:rsid w:val="00F55538"/>
    <w:rsid w:val="00F64735"/>
    <w:rsid w:val="00F66BBC"/>
    <w:rsid w:val="00F6788C"/>
    <w:rsid w:val="00F70884"/>
    <w:rsid w:val="00F728C8"/>
    <w:rsid w:val="00F802A1"/>
    <w:rsid w:val="00F83DA2"/>
    <w:rsid w:val="00F84895"/>
    <w:rsid w:val="00F90171"/>
    <w:rsid w:val="00F9215D"/>
    <w:rsid w:val="00F92EA9"/>
    <w:rsid w:val="00F96162"/>
    <w:rsid w:val="00FA2767"/>
    <w:rsid w:val="00FA325D"/>
    <w:rsid w:val="00FA4723"/>
    <w:rsid w:val="00FA6306"/>
    <w:rsid w:val="00FB2A79"/>
    <w:rsid w:val="00FB7BDC"/>
    <w:rsid w:val="00FB7BF1"/>
    <w:rsid w:val="00FD4043"/>
    <w:rsid w:val="00FD5D90"/>
    <w:rsid w:val="00FE476A"/>
    <w:rsid w:val="00FE7193"/>
    <w:rsid w:val="00FF04AE"/>
    <w:rsid w:val="00FF62DB"/>
    <w:rsid w:val="1E6455AF"/>
    <w:rsid w:val="304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026"/>
        <o:r id="V:Rule2" type="connector" idref="#AutoShape 333">
          <o:proxy start="" idref="#AutoShape 328" connectloc="2"/>
          <o:proxy end="" idref="#AutoShape 327" connectloc="0"/>
        </o:r>
        <o:r id="V:Rule3" type="connector" idref="#AutoShape 334">
          <o:proxy start="" idref="#AutoShape 327" connectloc="2"/>
          <o:proxy end="" idref="#AutoShape 329" connectloc="0"/>
        </o:r>
        <o:r id="V:Rule4" type="connector" idref="#AutoShape 335">
          <o:proxy start="" idref="#AutoShape 329" connectloc="2"/>
          <o:proxy end="" idref="#AutoShape 330" connectloc="0"/>
        </o:r>
        <o:r id="V:Rule5" type="connector" idref="#AutoShape 336">
          <o:proxy start="" idref="#AutoShape 330" connectloc="2"/>
          <o:proxy end="" idref="#AutoShape 331" connectloc="0"/>
        </o:r>
        <o:r id="V:Rule6" type="connector" idref="#AutoShape 457">
          <o:proxy start="" idref="#AutoShape 318" connectloc="2"/>
          <o:proxy end="" idref="#Line 349" connectloc="1"/>
        </o:r>
        <o:r id="V:Rule7" type="connector" idref="#AutoShape 458">
          <o:proxy start="" idref="#AutoShape 318" connectloc="2"/>
          <o:proxy end="" idref="#Line 349" connectloc="1"/>
        </o:r>
        <o:r id="V:Rule8" type="connector" idref="#AutoShape 460">
          <o:proxy start="" idref="#AutoShape 318" connectloc="2"/>
          <o:proxy end="" idref="#Text Box 462" connectloc="3"/>
        </o:r>
        <o:r id="V:Rule9" type="connector" idref="#AutoShape 463">
          <o:proxy start="" idref="#Text Box 462" connectloc="1"/>
          <o:proxy end="" idref="#AutoShape 323" connectloc="3"/>
        </o:r>
        <o:r id="V:Rule10" type="connector" idref="#AutoShape 465">
          <o:proxy start="" idref="#Text Box 462" connectloc="1"/>
          <o:proxy end="" idref="#AutoShape 323" connectloc="3"/>
        </o:r>
        <o:r id="V:Rule11" type="connector" idref="#AutoShape 384">
          <o:proxy start="" idref="#AutoShape 367" connectloc="2"/>
          <o:proxy end="" idref="#AutoShape 373" connectloc="0"/>
        </o:r>
        <o:r id="V:Rule12" type="connector" idref="#AutoShape 385">
          <o:proxy start="" idref="#AutoShape 368" connectloc="2"/>
          <o:proxy end="" idref="#AutoShape 376" connectloc="0"/>
        </o:r>
        <o:r id="V:Rule13" type="connector" idref="#AutoShape 386">
          <o:proxy start="" idref="#AutoShape 369" connectloc="2"/>
          <o:proxy end="" idref="#AutoShape 377" connectloc="0"/>
        </o:r>
        <o:r id="V:Rule14" type="connector" idref="#AutoShape 387">
          <o:proxy start="" idref="#AutoShape 375" connectloc="2"/>
          <o:proxy end="" idref="#AutoShape 378" connectloc="0"/>
        </o:r>
        <o:r id="V:Rule15" type="connector" idref="#AutoShape 388">
          <o:proxy start="" idref="#AutoShape 370" connectloc="2"/>
          <o:proxy end="" idref="#AutoShape 380" connectloc="0"/>
        </o:r>
        <o:r id="V:Rule16" type="connector" idref="#AutoShape 389">
          <o:proxy start="" idref="#AutoShape 371" connectloc="2"/>
          <o:proxy end="" idref="#AutoShape 379" connectloc="0"/>
        </o:r>
        <o:r id="V:Rule17" type="connector" idref="#AutoShape 390">
          <o:proxy start="" idref="#AutoShape 372" connectloc="2"/>
          <o:proxy end="" idref="#AutoShape 374" connectloc="0"/>
        </o:r>
        <o:r id="V:Rule18" type="connector" idref="#AutoShape 395">
          <o:proxy start="" idref="#AutoShape 367" connectloc="0"/>
          <o:proxy end="" idref="#AutoShape 374" connectloc="0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FangSong-Z02" w:hAnsi="FZFangSong-Z02" w:eastAsia="FZFangSong-Z0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3074" textRotate="1"/>
    <customShpInfo spid="_x0000_s3075" textRotate="1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050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0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FEAAE-7770-4C34-AB94-5EE41A21E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2020-08-06T08:11:00Z</dcterms:created>
  <dc:creator>Administrator</dc:creator>
  <cp:lastModifiedBy>WPS_1581516134</cp:lastModifiedBy>
  <dcterms:modified xsi:type="dcterms:W3CDTF">2020-12-09T08:08:10Z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