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全州县第一次全国自然灾害综合风险普查试点任务分工表</w:t>
      </w:r>
    </w:p>
    <w:p>
      <w:pPr>
        <w:rPr>
          <w:rFonts w:ascii="Times New Roman" w:hAnsi="Times New Roman" w:eastAsia="仿宋_GB2312"/>
          <w:sz w:val="32"/>
          <w:szCs w:val="32"/>
        </w:rPr>
      </w:pPr>
      <w:bookmarkStart w:id="0" w:name="_GoBack"/>
      <w:bookmarkEnd w:id="0"/>
    </w:p>
    <w:p>
      <w:pPr>
        <w:pStyle w:val="10"/>
        <w:numPr>
          <w:ilvl w:val="0"/>
          <w:numId w:val="0"/>
        </w:numPr>
        <w:ind w:leftChars="0"/>
        <w:rPr>
          <w:rFonts w:ascii="Times New Roman" w:hAnsi="Times New Roman" w:eastAsia="仿宋_GB2312"/>
          <w:b/>
          <w:sz w:val="24"/>
          <w:szCs w:val="24"/>
        </w:rPr>
      </w:pPr>
      <w:r>
        <w:rPr>
          <w:rFonts w:hint="eastAsia" w:ascii="Times New Roman" w:hAnsi="Times New Roman" w:eastAsia="仿宋_GB2312"/>
          <w:b/>
          <w:sz w:val="24"/>
          <w:szCs w:val="24"/>
          <w:lang w:val="en-US" w:eastAsia="zh-CN"/>
        </w:rPr>
        <w:t>1.</w:t>
      </w:r>
      <w:r>
        <w:rPr>
          <w:rFonts w:hint="eastAsia" w:ascii="Times New Roman" w:hAnsi="Times New Roman" w:eastAsia="仿宋_GB2312"/>
          <w:b/>
          <w:sz w:val="24"/>
          <w:szCs w:val="24"/>
        </w:rPr>
        <w:t>县应急管理局</w:t>
      </w:r>
    </w:p>
    <w:tbl>
      <w:tblPr>
        <w:tblStyle w:val="11"/>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92"/>
        <w:gridCol w:w="1986"/>
        <w:gridCol w:w="4786"/>
        <w:gridCol w:w="2981"/>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blHeader/>
        </w:trPr>
        <w:tc>
          <w:tcPr>
            <w:tcW w:w="802"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序号</w:t>
            </w:r>
          </w:p>
        </w:tc>
        <w:tc>
          <w:tcPr>
            <w:tcW w:w="992"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项目</w:t>
            </w:r>
          </w:p>
        </w:tc>
        <w:tc>
          <w:tcPr>
            <w:tcW w:w="1986"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分类</w:t>
            </w:r>
          </w:p>
        </w:tc>
        <w:tc>
          <w:tcPr>
            <w:tcW w:w="4786"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实施内容</w:t>
            </w:r>
          </w:p>
        </w:tc>
        <w:tc>
          <w:tcPr>
            <w:tcW w:w="2981"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成果</w:t>
            </w:r>
          </w:p>
        </w:tc>
        <w:tc>
          <w:tcPr>
            <w:tcW w:w="2616"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restart"/>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1</w:t>
            </w:r>
          </w:p>
        </w:tc>
        <w:tc>
          <w:tcPr>
            <w:tcW w:w="992"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承灾体调查</w:t>
            </w: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学校</w:t>
            </w:r>
          </w:p>
        </w:tc>
        <w:tc>
          <w:tcPr>
            <w:tcW w:w="4786" w:type="dxa"/>
            <w:vMerge w:val="restart"/>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依托统一开发的全国自然灾害综合风险调查软件开展公共服务设施调查对象清查、调查和质量审核上报工作。开展全州县公共服务设施调查，主要包括：空间位置信息、保障服务能力信息和灾害属性信息。完成10张调查表格的填报工作。</w:t>
            </w:r>
          </w:p>
        </w:tc>
        <w:tc>
          <w:tcPr>
            <w:tcW w:w="2981" w:type="dxa"/>
            <w:vMerge w:val="restart"/>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形成全州县所有公共服务设施单体（及行政单元）调查数据及空间信息图层。</w:t>
            </w:r>
          </w:p>
        </w:tc>
        <w:tc>
          <w:tcPr>
            <w:tcW w:w="2616" w:type="dxa"/>
            <w:vMerge w:val="restart"/>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《公共服务设施调查技术规范》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医疗卫生机构</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提供住宿的社会服务机构</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公共文化场所</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旅游景区</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星级饭店</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体育场馆</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宗教活动场所</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大型超市、百货店和亿元上商品交易市场</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仿宋"/>
                <w:kern w:val="0"/>
                <w:sz w:val="24"/>
                <w:szCs w:val="24"/>
              </w:rPr>
            </w:pPr>
          </w:p>
        </w:tc>
        <w:tc>
          <w:tcPr>
            <w:tcW w:w="1986"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基础指标统计表</w:t>
            </w:r>
          </w:p>
        </w:tc>
        <w:tc>
          <w:tcPr>
            <w:tcW w:w="4786" w:type="dxa"/>
            <w:vMerge w:val="continue"/>
            <w:vAlign w:val="center"/>
          </w:tcPr>
          <w:p>
            <w:pPr>
              <w:jc w:val="center"/>
              <w:rPr>
                <w:rFonts w:ascii="Times New Roman" w:hAnsi="Times New Roman" w:eastAsia="仿宋_GB2312" w:cs="仿宋"/>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Merge w:val="continue"/>
            <w:vAlign w:val="center"/>
          </w:tcPr>
          <w:p>
            <w:pP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restart"/>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2</w:t>
            </w:r>
          </w:p>
        </w:tc>
        <w:tc>
          <w:tcPr>
            <w:tcW w:w="992"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历史灾害调查</w:t>
            </w:r>
          </w:p>
        </w:tc>
        <w:tc>
          <w:tcPr>
            <w:tcW w:w="1986" w:type="dxa"/>
            <w:vAlign w:val="center"/>
          </w:tcPr>
          <w:p>
            <w:pPr>
              <w:spacing w:before="3" w:line="250" w:lineRule="exact"/>
              <w:ind w:left="167"/>
              <w:jc w:val="center"/>
              <w:rPr>
                <w:rFonts w:ascii="Times New Roman" w:hAnsi="Times New Roman" w:eastAsia="仿宋_GB2312" w:cs="仿宋"/>
                <w:kern w:val="0"/>
                <w:sz w:val="24"/>
                <w:szCs w:val="24"/>
                <w:lang w:bidi="zh-CN"/>
              </w:rPr>
            </w:pPr>
            <w:r>
              <w:rPr>
                <w:rFonts w:hint="eastAsia" w:ascii="Times New Roman" w:hAnsi="Times New Roman" w:eastAsia="仿宋_GB2312" w:cs="仿宋"/>
                <w:kern w:val="0"/>
                <w:sz w:val="24"/>
                <w:szCs w:val="24"/>
                <w:lang w:bidi="zh-CN"/>
              </w:rPr>
              <w:t>年度历史灾害调查</w:t>
            </w:r>
          </w:p>
        </w:tc>
        <w:tc>
          <w:tcPr>
            <w:tcW w:w="4786" w:type="dxa"/>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Times New Roman"/>
                <w:kern w:val="0"/>
                <w:sz w:val="24"/>
                <w:szCs w:val="24"/>
              </w:rPr>
              <w:t>依托统一开发的全国自然灾害综合风险调查软件开展调查对象清查、调查和质量审核上报工作。</w:t>
            </w:r>
            <w:r>
              <w:rPr>
                <w:rFonts w:ascii="Times New Roman" w:hAnsi="Times New Roman" w:eastAsia="仿宋_GB2312" w:cs="Times New Roman"/>
                <w:kern w:val="0"/>
                <w:sz w:val="24"/>
                <w:szCs w:val="24"/>
              </w:rPr>
              <w:t>以年度为统计基准、以县级行政区为基本统计单元，查清1978</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2020年</w:t>
            </w:r>
            <w:r>
              <w:rPr>
                <w:rFonts w:hint="eastAsia" w:ascii="Times New Roman" w:hAnsi="Times New Roman" w:eastAsia="仿宋_GB2312" w:cs="Times New Roman"/>
                <w:kern w:val="0"/>
                <w:sz w:val="24"/>
                <w:szCs w:val="24"/>
              </w:rPr>
              <w:t>全州县</w:t>
            </w:r>
            <w:r>
              <w:rPr>
                <w:rFonts w:ascii="Times New Roman" w:hAnsi="Times New Roman" w:eastAsia="仿宋_GB2312" w:cs="Times New Roman"/>
                <w:kern w:val="0"/>
                <w:sz w:val="24"/>
                <w:szCs w:val="24"/>
              </w:rPr>
              <w:t>各类自然灾害的年度主要灾害信息统计指标</w:t>
            </w:r>
            <w:r>
              <w:rPr>
                <w:rFonts w:hint="eastAsia" w:ascii="Times New Roman" w:hAnsi="Times New Roman" w:eastAsia="仿宋_GB2312" w:cs="Times New Roman"/>
                <w:kern w:val="0"/>
                <w:sz w:val="24"/>
                <w:szCs w:val="24"/>
              </w:rPr>
              <w:t>，主要包括灾害基本信息、灾害损失信息、救灾工作信息、社会经济信息、行业部门指标信息等。</w:t>
            </w:r>
          </w:p>
        </w:tc>
        <w:tc>
          <w:tcPr>
            <w:tcW w:w="2981" w:type="dxa"/>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全州县年度自然灾害调查数据集</w:t>
            </w:r>
          </w:p>
        </w:tc>
        <w:tc>
          <w:tcPr>
            <w:tcW w:w="2616" w:type="dxa"/>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《年度自然灾害调查技术规范》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Times New Roman"/>
                <w:color w:val="0D0D0D"/>
                <w:kern w:val="0"/>
                <w:sz w:val="24"/>
                <w:szCs w:val="24"/>
                <w:lang w:bidi="ar"/>
              </w:rPr>
            </w:pPr>
          </w:p>
        </w:tc>
        <w:tc>
          <w:tcPr>
            <w:tcW w:w="1986" w:type="dxa"/>
            <w:vAlign w:val="center"/>
          </w:tcPr>
          <w:p>
            <w:pPr>
              <w:spacing w:before="3" w:line="250" w:lineRule="exact"/>
              <w:ind w:left="167"/>
              <w:jc w:val="center"/>
              <w:rPr>
                <w:rFonts w:ascii="Times New Roman" w:hAnsi="Times New Roman" w:eastAsia="仿宋_GB2312" w:cs="仿宋"/>
                <w:kern w:val="0"/>
                <w:sz w:val="24"/>
                <w:szCs w:val="24"/>
                <w:lang w:bidi="zh-CN"/>
              </w:rPr>
            </w:pPr>
            <w:r>
              <w:rPr>
                <w:rFonts w:hint="eastAsia" w:ascii="Times New Roman" w:hAnsi="Times New Roman" w:eastAsia="仿宋_GB2312" w:cs="仿宋"/>
                <w:kern w:val="0"/>
                <w:sz w:val="24"/>
                <w:szCs w:val="24"/>
                <w:lang w:bidi="zh-CN"/>
              </w:rPr>
              <w:t>历史一般灾害事件调查</w:t>
            </w:r>
          </w:p>
        </w:tc>
        <w:tc>
          <w:tcPr>
            <w:tcW w:w="4786" w:type="dxa"/>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Times New Roman"/>
                <w:kern w:val="0"/>
                <w:sz w:val="24"/>
                <w:szCs w:val="24"/>
              </w:rPr>
              <w:t>依托统一开发的全国自然灾害综合风险调查软件开展调查对象清查、调查和质量审核上报工作。</w:t>
            </w:r>
            <w:r>
              <w:rPr>
                <w:rFonts w:ascii="Times New Roman" w:hAnsi="Times New Roman" w:eastAsia="仿宋_GB2312" w:cs="Times New Roman"/>
                <w:kern w:val="0"/>
                <w:sz w:val="24"/>
                <w:szCs w:val="24"/>
              </w:rPr>
              <w:t>以单一历史灾害事件为统计基准、以县级行政区为基本统计单元，调查1978</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2020年</w:t>
            </w:r>
            <w:r>
              <w:rPr>
                <w:rFonts w:hint="eastAsia" w:ascii="Times New Roman" w:hAnsi="Times New Roman" w:eastAsia="仿宋_GB2312" w:cs="Times New Roman"/>
                <w:kern w:val="0"/>
                <w:sz w:val="24"/>
                <w:szCs w:val="24"/>
              </w:rPr>
              <w:t>全州县</w:t>
            </w:r>
            <w:r>
              <w:rPr>
                <w:rFonts w:ascii="Times New Roman" w:hAnsi="Times New Roman" w:eastAsia="仿宋_GB2312" w:cs="Times New Roman"/>
                <w:kern w:val="0"/>
                <w:sz w:val="24"/>
                <w:szCs w:val="24"/>
              </w:rPr>
              <w:t>县级行政区发生的自然灾害事件</w:t>
            </w:r>
            <w:r>
              <w:rPr>
                <w:rFonts w:hint="eastAsia" w:ascii="Times New Roman" w:hAnsi="Times New Roman" w:eastAsia="仿宋_GB2312" w:cs="Times New Roman"/>
                <w:kern w:val="0"/>
                <w:sz w:val="24"/>
                <w:szCs w:val="24"/>
              </w:rPr>
              <w:t>信息，主要包括灾害基本信息、灾害损失信息、救灾工作信息、致灾信息等</w:t>
            </w:r>
            <w:r>
              <w:rPr>
                <w:rFonts w:ascii="Times New Roman" w:hAnsi="Times New Roman" w:eastAsia="仿宋_GB2312" w:cs="Times New Roman"/>
                <w:kern w:val="0"/>
                <w:sz w:val="24"/>
                <w:szCs w:val="24"/>
              </w:rPr>
              <w:t>。</w:t>
            </w:r>
          </w:p>
        </w:tc>
        <w:tc>
          <w:tcPr>
            <w:tcW w:w="2981" w:type="dxa"/>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全州县历史灾害事件调查数据集。</w:t>
            </w:r>
          </w:p>
        </w:tc>
        <w:tc>
          <w:tcPr>
            <w:tcW w:w="2616" w:type="dxa"/>
            <w:vAlign w:val="center"/>
          </w:tcPr>
          <w:p>
            <w:pP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《历史一般灾害事件调查技术规范》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802" w:type="dxa"/>
            <w:vMerge w:val="restart"/>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3</w:t>
            </w:r>
          </w:p>
        </w:tc>
        <w:tc>
          <w:tcPr>
            <w:tcW w:w="992"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综合减灾资源（能力）调查</w:t>
            </w:r>
          </w:p>
        </w:tc>
        <w:tc>
          <w:tcPr>
            <w:tcW w:w="1986" w:type="dxa"/>
            <w:vAlign w:val="center"/>
          </w:tcPr>
          <w:p>
            <w:pPr>
              <w:spacing w:before="3" w:line="250" w:lineRule="exact"/>
              <w:ind w:left="167"/>
              <w:jc w:val="center"/>
              <w:rPr>
                <w:rFonts w:ascii="Times New Roman" w:hAnsi="Times New Roman" w:eastAsia="仿宋_GB2312" w:cs="仿宋"/>
                <w:kern w:val="0"/>
                <w:sz w:val="24"/>
                <w:szCs w:val="24"/>
                <w:lang w:bidi="zh-CN"/>
              </w:rPr>
            </w:pPr>
            <w:r>
              <w:rPr>
                <w:rFonts w:hint="eastAsia" w:ascii="Times New Roman" w:hAnsi="Times New Roman" w:eastAsia="仿宋_GB2312" w:cs="仿宋"/>
                <w:kern w:val="0"/>
                <w:sz w:val="24"/>
                <w:szCs w:val="24"/>
                <w:lang w:bidi="zh-CN"/>
              </w:rPr>
              <w:t>政府综合减灾资源</w:t>
            </w:r>
          </w:p>
        </w:tc>
        <w:tc>
          <w:tcPr>
            <w:tcW w:w="4786"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统一开发的全国自然灾害综合风险调查软件开展调查对象清查、调查和质量审核上报工作。开展全州县政府综合减灾资源（能力）、企业及社会应急力量减灾资源（能力）、基层减灾资源（能力）和家庭减灾资源（能力）的调查，完成调查表格的填报工作。</w:t>
            </w:r>
          </w:p>
          <w:p>
            <w:pPr>
              <w:spacing w:line="360" w:lineRule="exact"/>
              <w:rPr>
                <w:rFonts w:ascii="Times New Roman" w:hAnsi="Times New Roman" w:eastAsia="仿宋_GB2312" w:cs="Times New Roman"/>
                <w:kern w:val="0"/>
                <w:sz w:val="24"/>
                <w:szCs w:val="24"/>
              </w:rPr>
            </w:pPr>
          </w:p>
        </w:tc>
        <w:tc>
          <w:tcPr>
            <w:tcW w:w="2981"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完成全州县综合减灾资源（能力）调查数据及空间信息图层。</w:t>
            </w:r>
          </w:p>
        </w:tc>
        <w:tc>
          <w:tcPr>
            <w:tcW w:w="2616" w:type="dxa"/>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《政府综合减灾资源（能力）调 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Times New Roman"/>
                <w:color w:val="0D0D0D"/>
                <w:kern w:val="0"/>
                <w:sz w:val="24"/>
                <w:szCs w:val="24"/>
                <w:lang w:bidi="ar"/>
              </w:rPr>
            </w:pPr>
          </w:p>
        </w:tc>
        <w:tc>
          <w:tcPr>
            <w:tcW w:w="1986" w:type="dxa"/>
            <w:vAlign w:val="center"/>
          </w:tcPr>
          <w:p>
            <w:pPr>
              <w:spacing w:before="3" w:line="250" w:lineRule="exact"/>
              <w:ind w:left="167"/>
              <w:jc w:val="center"/>
              <w:rPr>
                <w:rFonts w:ascii="Times New Roman" w:hAnsi="Times New Roman" w:eastAsia="仿宋_GB2312" w:cs="仿宋"/>
                <w:kern w:val="0"/>
                <w:sz w:val="24"/>
                <w:szCs w:val="24"/>
                <w:lang w:bidi="zh-CN"/>
              </w:rPr>
            </w:pPr>
            <w:r>
              <w:rPr>
                <w:rFonts w:hint="eastAsia" w:ascii="Times New Roman" w:hAnsi="Times New Roman" w:eastAsia="仿宋_GB2312" w:cs="仿宋"/>
                <w:kern w:val="0"/>
                <w:sz w:val="24"/>
                <w:szCs w:val="24"/>
                <w:lang w:bidi="zh-CN"/>
              </w:rPr>
              <w:t>企业与社会力量减灾资源</w:t>
            </w:r>
          </w:p>
        </w:tc>
        <w:tc>
          <w:tcPr>
            <w:tcW w:w="4786" w:type="dxa"/>
            <w:vMerge w:val="continue"/>
            <w:vAlign w:val="center"/>
          </w:tcPr>
          <w:p>
            <w:pPr>
              <w:spacing w:line="360" w:lineRule="exact"/>
              <w:rPr>
                <w:rFonts w:ascii="Times New Roman" w:hAnsi="Times New Roman" w:eastAsia="仿宋_GB2312" w:cs="Times New Roman"/>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Align w:val="center"/>
          </w:tcPr>
          <w:p>
            <w:pPr>
              <w:rPr>
                <w:rFonts w:ascii="Times New Roman" w:hAnsi="Times New Roman" w:eastAsia="仿宋_GB2312" w:cs="仿宋"/>
                <w:kern w:val="0"/>
                <w:sz w:val="24"/>
                <w:szCs w:val="24"/>
              </w:rPr>
            </w:pPr>
            <w:r>
              <w:rPr>
                <w:rFonts w:hint="eastAsia" w:ascii="Times New Roman" w:hAnsi="Times New Roman" w:eastAsia="仿宋_GB2312" w:cs="Times New Roman"/>
                <w:kern w:val="0"/>
                <w:sz w:val="24"/>
                <w:szCs w:val="24"/>
              </w:rPr>
              <w:t>《企业及社会应急力量综合减灾资源（能力）调查技术规范》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Times New Roman"/>
                <w:color w:val="0D0D0D"/>
                <w:kern w:val="0"/>
                <w:sz w:val="24"/>
                <w:szCs w:val="24"/>
                <w:lang w:bidi="ar"/>
              </w:rPr>
            </w:pPr>
          </w:p>
        </w:tc>
        <w:tc>
          <w:tcPr>
            <w:tcW w:w="1986" w:type="dxa"/>
            <w:vAlign w:val="center"/>
          </w:tcPr>
          <w:p>
            <w:pPr>
              <w:spacing w:before="3" w:line="250" w:lineRule="exact"/>
              <w:ind w:left="167"/>
              <w:jc w:val="center"/>
              <w:rPr>
                <w:rFonts w:ascii="Times New Roman" w:hAnsi="Times New Roman" w:eastAsia="仿宋_GB2312" w:cs="仿宋"/>
                <w:kern w:val="0"/>
                <w:sz w:val="24"/>
                <w:szCs w:val="24"/>
                <w:lang w:bidi="zh-CN"/>
              </w:rPr>
            </w:pPr>
            <w:r>
              <w:rPr>
                <w:rFonts w:hint="eastAsia" w:ascii="Times New Roman" w:hAnsi="Times New Roman" w:eastAsia="仿宋_GB2312" w:cs="仿宋"/>
                <w:kern w:val="0"/>
                <w:sz w:val="24"/>
                <w:szCs w:val="24"/>
                <w:lang w:bidi="zh-CN"/>
              </w:rPr>
              <w:t>基层综合减灾资源</w:t>
            </w:r>
          </w:p>
        </w:tc>
        <w:tc>
          <w:tcPr>
            <w:tcW w:w="4786" w:type="dxa"/>
            <w:vMerge w:val="continue"/>
            <w:vAlign w:val="center"/>
          </w:tcPr>
          <w:p>
            <w:pPr>
              <w:spacing w:line="360" w:lineRule="exact"/>
              <w:rPr>
                <w:rFonts w:ascii="Times New Roman" w:hAnsi="Times New Roman" w:eastAsia="仿宋_GB2312" w:cs="Times New Roman"/>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Align w:val="center"/>
          </w:tcPr>
          <w:p>
            <w:pPr>
              <w:rPr>
                <w:rFonts w:ascii="Times New Roman" w:hAnsi="Times New Roman" w:eastAsia="仿宋_GB2312" w:cs="仿宋"/>
                <w:kern w:val="0"/>
                <w:sz w:val="24"/>
                <w:szCs w:val="24"/>
              </w:rPr>
            </w:pPr>
            <w:r>
              <w:rPr>
                <w:rFonts w:hint="eastAsia" w:ascii="Times New Roman" w:hAnsi="Times New Roman" w:eastAsia="仿宋_GB2312" w:cs="Times New Roman"/>
                <w:kern w:val="0"/>
                <w:sz w:val="24"/>
                <w:szCs w:val="24"/>
              </w:rPr>
              <w:t>《基层综合减灾资源（能力）调查技术规范》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Times New Roman"/>
                <w:color w:val="0D0D0D"/>
                <w:kern w:val="0"/>
                <w:sz w:val="24"/>
                <w:szCs w:val="24"/>
                <w:lang w:bidi="ar"/>
              </w:rPr>
            </w:pPr>
          </w:p>
        </w:tc>
        <w:tc>
          <w:tcPr>
            <w:tcW w:w="1986" w:type="dxa"/>
            <w:vAlign w:val="center"/>
          </w:tcPr>
          <w:p>
            <w:pPr>
              <w:spacing w:before="3" w:line="250" w:lineRule="exact"/>
              <w:ind w:left="167"/>
              <w:jc w:val="center"/>
              <w:rPr>
                <w:rFonts w:ascii="Times New Roman" w:hAnsi="Times New Roman" w:eastAsia="仿宋_GB2312" w:cs="仿宋"/>
                <w:kern w:val="0"/>
                <w:sz w:val="24"/>
                <w:szCs w:val="24"/>
                <w:lang w:bidi="zh-CN"/>
              </w:rPr>
            </w:pPr>
            <w:r>
              <w:rPr>
                <w:rFonts w:hint="eastAsia" w:ascii="Times New Roman" w:hAnsi="Times New Roman" w:eastAsia="仿宋_GB2312" w:cs="仿宋"/>
                <w:kern w:val="0"/>
                <w:sz w:val="24"/>
                <w:szCs w:val="24"/>
                <w:lang w:bidi="zh-CN"/>
              </w:rPr>
              <w:t>家庭减灾资源</w:t>
            </w:r>
          </w:p>
        </w:tc>
        <w:tc>
          <w:tcPr>
            <w:tcW w:w="4786" w:type="dxa"/>
            <w:vMerge w:val="continue"/>
            <w:vAlign w:val="center"/>
          </w:tcPr>
          <w:p>
            <w:pPr>
              <w:spacing w:line="360" w:lineRule="exact"/>
              <w:rPr>
                <w:rFonts w:ascii="Times New Roman" w:hAnsi="Times New Roman" w:eastAsia="仿宋_GB2312" w:cs="Times New Roman"/>
                <w:kern w:val="0"/>
                <w:sz w:val="24"/>
                <w:szCs w:val="24"/>
              </w:rPr>
            </w:pPr>
          </w:p>
        </w:tc>
        <w:tc>
          <w:tcPr>
            <w:tcW w:w="2981" w:type="dxa"/>
            <w:vMerge w:val="continue"/>
            <w:vAlign w:val="center"/>
          </w:tcPr>
          <w:p>
            <w:pPr>
              <w:jc w:val="center"/>
              <w:rPr>
                <w:rFonts w:ascii="Times New Roman" w:hAnsi="Times New Roman" w:eastAsia="仿宋_GB2312" w:cs="仿宋"/>
                <w:kern w:val="0"/>
                <w:sz w:val="24"/>
                <w:szCs w:val="24"/>
              </w:rPr>
            </w:pPr>
          </w:p>
        </w:tc>
        <w:tc>
          <w:tcPr>
            <w:tcW w:w="2616" w:type="dxa"/>
            <w:vAlign w:val="center"/>
          </w:tcPr>
          <w:p>
            <w:pPr>
              <w:rPr>
                <w:rFonts w:ascii="Times New Roman" w:hAnsi="Times New Roman" w:eastAsia="仿宋_GB2312" w:cs="仿宋"/>
                <w:kern w:val="0"/>
                <w:sz w:val="24"/>
                <w:szCs w:val="24"/>
              </w:rPr>
            </w:pPr>
            <w:r>
              <w:rPr>
                <w:rFonts w:hint="eastAsia" w:ascii="Times New Roman" w:hAnsi="Times New Roman" w:eastAsia="仿宋_GB2312" w:cs="Times New Roman"/>
                <w:kern w:val="0"/>
                <w:sz w:val="24"/>
                <w:szCs w:val="24"/>
              </w:rPr>
              <w:t>《家庭减灾资源（能力）调查技术规范》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02" w:type="dxa"/>
            <w:vMerge w:val="restart"/>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4</w:t>
            </w:r>
          </w:p>
        </w:tc>
        <w:tc>
          <w:tcPr>
            <w:tcW w:w="992"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重点隐患调查与评估</w:t>
            </w:r>
          </w:p>
        </w:tc>
        <w:tc>
          <w:tcPr>
            <w:tcW w:w="1986" w:type="dxa"/>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自然灾害次生危险化学品事故重点隐患调查与评估</w:t>
            </w:r>
          </w:p>
        </w:tc>
        <w:tc>
          <w:tcPr>
            <w:tcW w:w="4786" w:type="dxa"/>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依托统一开发的全国自然灾害综合风险调查软件开展调查对象清查、调查和质量审核上报工作。</w:t>
            </w:r>
            <w:r>
              <w:rPr>
                <w:rFonts w:ascii="Times New Roman" w:hAnsi="Times New Roman" w:eastAsia="仿宋_GB2312" w:cs="Times New Roman"/>
                <w:kern w:val="0"/>
                <w:sz w:val="24"/>
                <w:szCs w:val="24"/>
              </w:rPr>
              <w:t>开展</w:t>
            </w:r>
            <w:r>
              <w:rPr>
                <w:rFonts w:hint="eastAsia" w:ascii="Times New Roman" w:hAnsi="Times New Roman" w:eastAsia="仿宋_GB2312" w:cs="Times New Roman"/>
                <w:kern w:val="0"/>
                <w:sz w:val="24"/>
                <w:szCs w:val="24"/>
              </w:rPr>
              <w:t>全州县</w:t>
            </w:r>
            <w:r>
              <w:rPr>
                <w:rFonts w:ascii="Times New Roman" w:hAnsi="Times New Roman" w:eastAsia="仿宋_GB2312" w:cs="Times New Roman"/>
                <w:kern w:val="0"/>
                <w:sz w:val="24"/>
                <w:szCs w:val="24"/>
              </w:rPr>
              <w:t>危险化学品生产企业、使用企业、储存企业、仓储经营企业调查</w:t>
            </w:r>
            <w:r>
              <w:rPr>
                <w:rFonts w:hint="eastAsia" w:ascii="Times New Roman" w:hAnsi="Times New Roman" w:eastAsia="仿宋_GB2312" w:cs="Times New Roman"/>
                <w:kern w:val="0"/>
                <w:sz w:val="24"/>
                <w:szCs w:val="24"/>
              </w:rPr>
              <w:t>，主要包括企业基础信息、危险源信息等</w:t>
            </w:r>
            <w:r>
              <w:rPr>
                <w:rFonts w:ascii="Times New Roman" w:hAnsi="Times New Roman" w:eastAsia="仿宋_GB2312" w:cs="Times New Roman"/>
                <w:kern w:val="0"/>
                <w:sz w:val="24"/>
                <w:szCs w:val="24"/>
              </w:rPr>
              <w:t>。开展自然灾害次生危险化学品事故隐患调查分级工作，所辖区域内有危险化学品企业的，绘制化工集中区自然灾害影响分布图。</w:t>
            </w:r>
          </w:p>
        </w:tc>
        <w:tc>
          <w:tcPr>
            <w:tcW w:w="2981" w:type="dxa"/>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数据成果，形成</w:t>
            </w:r>
            <w:r>
              <w:rPr>
                <w:rFonts w:hint="eastAsia" w:ascii="Times New Roman" w:hAnsi="Times New Roman" w:eastAsia="仿宋_GB2312" w:cs="Times New Roman"/>
                <w:kern w:val="0"/>
                <w:sz w:val="24"/>
                <w:szCs w:val="24"/>
              </w:rPr>
              <w:t>全州县</w:t>
            </w:r>
            <w:r>
              <w:rPr>
                <w:rFonts w:ascii="Times New Roman" w:hAnsi="Times New Roman" w:eastAsia="仿宋_GB2312" w:cs="Times New Roman"/>
                <w:kern w:val="0"/>
                <w:sz w:val="24"/>
                <w:szCs w:val="24"/>
              </w:rPr>
              <w:t>自然灾害次生危险化学品事故重点隐患调查数据及空间信息图层。</w:t>
            </w:r>
          </w:p>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成果图集，自然灾害-</w:t>
            </w:r>
            <w:r>
              <w:rPr>
                <w:rFonts w:hint="eastAsia" w:ascii="Times New Roman" w:hAnsi="Times New Roman" w:eastAsia="仿宋_GB2312" w:cs="Times New Roman"/>
                <w:kern w:val="0"/>
                <w:sz w:val="24"/>
                <w:szCs w:val="24"/>
              </w:rPr>
              <w:t>化工集中区</w:t>
            </w:r>
            <w:r>
              <w:rPr>
                <w:rFonts w:ascii="Times New Roman" w:hAnsi="Times New Roman" w:eastAsia="仿宋_GB2312" w:cs="Times New Roman"/>
                <w:kern w:val="0"/>
                <w:sz w:val="24"/>
                <w:szCs w:val="24"/>
              </w:rPr>
              <w:t>区重点隐患影响分布图。</w:t>
            </w:r>
          </w:p>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报告，形成自然灾害次生危险化学品事故重点隐患综合评估报告。</w:t>
            </w:r>
          </w:p>
        </w:tc>
        <w:tc>
          <w:tcPr>
            <w:tcW w:w="2616" w:type="dxa"/>
            <w:vAlign w:val="center"/>
          </w:tcPr>
          <w:p>
            <w:pPr>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《自然灾害次生危险化学品事故危险源调查技术规范》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5" w:hRule="atLeast"/>
        </w:trPr>
        <w:tc>
          <w:tcPr>
            <w:tcW w:w="802" w:type="dxa"/>
            <w:vMerge w:val="continue"/>
            <w:vAlign w:val="center"/>
          </w:tcPr>
          <w:p>
            <w:pPr>
              <w:jc w:val="center"/>
              <w:rPr>
                <w:rFonts w:ascii="Times New Roman" w:hAnsi="Times New Roman" w:eastAsia="仿宋_GB2312" w:cs="仿宋"/>
                <w:kern w:val="0"/>
                <w:sz w:val="24"/>
                <w:szCs w:val="24"/>
              </w:rPr>
            </w:pPr>
          </w:p>
        </w:tc>
        <w:tc>
          <w:tcPr>
            <w:tcW w:w="992" w:type="dxa"/>
            <w:vMerge w:val="continue"/>
            <w:vAlign w:val="center"/>
          </w:tcPr>
          <w:p>
            <w:pPr>
              <w:jc w:val="center"/>
              <w:rPr>
                <w:rFonts w:ascii="Times New Roman" w:hAnsi="Times New Roman" w:eastAsia="仿宋_GB2312" w:cs="Times New Roman"/>
                <w:color w:val="0D0D0D"/>
                <w:kern w:val="0"/>
                <w:sz w:val="24"/>
                <w:szCs w:val="24"/>
                <w:lang w:bidi="ar"/>
              </w:rPr>
            </w:pPr>
          </w:p>
        </w:tc>
        <w:tc>
          <w:tcPr>
            <w:tcW w:w="1986" w:type="dxa"/>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自然灾害次生非煤炭矿山生产安全重点隐患调查与评估</w:t>
            </w:r>
          </w:p>
        </w:tc>
        <w:tc>
          <w:tcPr>
            <w:tcW w:w="4786" w:type="dxa"/>
            <w:vAlign w:val="center"/>
          </w:tcPr>
          <w:p>
            <w:pPr>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依托统一开发的全国自然灾害综合风险调查软件开展调查对象清查、调查和质量审核上报工作。开展</w:t>
            </w:r>
            <w:r>
              <w:rPr>
                <w:rFonts w:hint="eastAsia" w:ascii="Times New Roman" w:hAnsi="Times New Roman" w:eastAsia="仿宋_GB2312" w:cs="Times New Roman"/>
                <w:kern w:val="0"/>
                <w:sz w:val="24"/>
                <w:szCs w:val="24"/>
              </w:rPr>
              <w:t>全州县</w:t>
            </w:r>
            <w:r>
              <w:rPr>
                <w:rFonts w:ascii="Times New Roman" w:hAnsi="Times New Roman" w:eastAsia="仿宋_GB2312" w:cs="Times New Roman"/>
                <w:kern w:val="0"/>
                <w:sz w:val="24"/>
                <w:szCs w:val="24"/>
              </w:rPr>
              <w:t>自然灾害次生非煤矿山事故重点隐患调查和评估</w:t>
            </w:r>
            <w:r>
              <w:rPr>
                <w:rFonts w:hint="eastAsia" w:ascii="Times New Roman" w:hAnsi="Times New Roman" w:eastAsia="仿宋_GB2312" w:cs="Times New Roman"/>
                <w:kern w:val="0"/>
                <w:sz w:val="24"/>
                <w:szCs w:val="24"/>
              </w:rPr>
              <w:t>。主要包括：矿山基础信息、矿山减灾能力和历史事故信息（近10年）等。</w:t>
            </w:r>
          </w:p>
        </w:tc>
        <w:tc>
          <w:tcPr>
            <w:tcW w:w="2981" w:type="dxa"/>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（1）形成全州县自然灾害次生非煤矿山事故危险源数据集和空间信息图层。</w:t>
            </w:r>
          </w:p>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（2）图件成果，形成全州县自然灾害次生非煤矿山事故重点隐患分布图。</w:t>
            </w:r>
          </w:p>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（3）文字报告成果，形成全州县自然灾害次生非煤矿山事故重点隐患调查综合评估报告。</w:t>
            </w:r>
          </w:p>
        </w:tc>
        <w:tc>
          <w:tcPr>
            <w:tcW w:w="2616" w:type="dxa"/>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《自然灾害次生非煤矿山事故危险源调查技术规范》</w:t>
            </w:r>
          </w:p>
        </w:tc>
      </w:tr>
    </w:tbl>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b/>
          <w:sz w:val="24"/>
          <w:szCs w:val="24"/>
        </w:rPr>
        <w:t>2</w:t>
      </w:r>
      <w:r>
        <w:rPr>
          <w:rFonts w:hint="eastAsia" w:ascii="Times New Roman" w:hAnsi="Times New Roman" w:eastAsia="仿宋_GB2312"/>
          <w:b/>
          <w:sz w:val="24"/>
          <w:szCs w:val="24"/>
          <w:lang w:eastAsia="zh-CN"/>
        </w:rPr>
        <w:t>.</w:t>
      </w:r>
      <w:r>
        <w:rPr>
          <w:rFonts w:hint="eastAsia" w:ascii="Times New Roman" w:hAnsi="Times New Roman" w:eastAsia="仿宋_GB2312"/>
          <w:b/>
          <w:sz w:val="24"/>
          <w:szCs w:val="24"/>
        </w:rPr>
        <w:t>县自然资源局</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31"/>
        <w:gridCol w:w="2125"/>
        <w:gridCol w:w="2131"/>
        <w:gridCol w:w="3404"/>
        <w:gridCol w:w="2562"/>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序号</w:t>
            </w:r>
          </w:p>
        </w:tc>
        <w:tc>
          <w:tcPr>
            <w:tcW w:w="1231"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项目</w:t>
            </w:r>
          </w:p>
        </w:tc>
        <w:tc>
          <w:tcPr>
            <w:tcW w:w="2125"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类型</w:t>
            </w:r>
          </w:p>
        </w:tc>
        <w:tc>
          <w:tcPr>
            <w:tcW w:w="2131"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隐患点数量（供参考）</w:t>
            </w:r>
          </w:p>
        </w:tc>
        <w:tc>
          <w:tcPr>
            <w:tcW w:w="3404"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实施内容</w:t>
            </w:r>
          </w:p>
        </w:tc>
        <w:tc>
          <w:tcPr>
            <w:tcW w:w="2562"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成果</w:t>
            </w:r>
          </w:p>
        </w:tc>
        <w:tc>
          <w:tcPr>
            <w:tcW w:w="2006"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vAlign w:val="center"/>
          </w:tcPr>
          <w:p>
            <w:pPr>
              <w:pStyle w:val="10"/>
              <w:numPr>
                <w:ilvl w:val="0"/>
                <w:numId w:val="1"/>
              </w:numPr>
              <w:ind w:firstLineChars="0"/>
              <w:rPr>
                <w:rFonts w:ascii="Times New Roman" w:hAnsi="Times New Roman" w:eastAsia="仿宋_GB2312"/>
                <w:sz w:val="24"/>
                <w:szCs w:val="24"/>
              </w:rPr>
            </w:pPr>
          </w:p>
        </w:tc>
        <w:tc>
          <w:tcPr>
            <w:tcW w:w="1231" w:type="dxa"/>
            <w:vMerge w:val="restart"/>
            <w:vAlign w:val="center"/>
          </w:tcPr>
          <w:p>
            <w:pPr>
              <w:rPr>
                <w:rFonts w:ascii="Times New Roman" w:hAnsi="Times New Roman" w:eastAsia="仿宋_GB2312"/>
                <w:sz w:val="24"/>
                <w:szCs w:val="24"/>
              </w:rPr>
            </w:pPr>
            <w:r>
              <w:rPr>
                <w:rFonts w:hint="eastAsia" w:ascii="Times New Roman" w:hAnsi="Times New Roman" w:eastAsia="仿宋_GB2312"/>
                <w:sz w:val="24"/>
                <w:szCs w:val="24"/>
              </w:rPr>
              <w:t>地质灾害调查与评估</w:t>
            </w:r>
          </w:p>
        </w:tc>
        <w:tc>
          <w:tcPr>
            <w:tcW w:w="2125"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地质灾害调查</w:t>
            </w:r>
          </w:p>
        </w:tc>
        <w:tc>
          <w:tcPr>
            <w:tcW w:w="213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3404"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 xml:space="preserve">综合应用地面调查、物探、钻探、山地工程、测试试验等方法，开展年度地质灾害调查，查明地质灾害隐患的变形特征，获得地质灾害点空间分布、基本灾害特征信息、稳定性现状、孕灾地质背景条件属性等信息，建立全州县地质灾害数据库。 </w:t>
            </w:r>
          </w:p>
        </w:tc>
        <w:tc>
          <w:tcPr>
            <w:tcW w:w="2562"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形成地质灾害数据集</w:t>
            </w:r>
          </w:p>
          <w:p>
            <w:pPr>
              <w:rPr>
                <w:rFonts w:ascii="Times New Roman" w:hAnsi="Times New Roman" w:eastAsia="仿宋_GB2312"/>
                <w:sz w:val="24"/>
                <w:szCs w:val="24"/>
              </w:rPr>
            </w:pPr>
          </w:p>
        </w:tc>
        <w:tc>
          <w:tcPr>
            <w:tcW w:w="2006" w:type="dxa"/>
            <w:vMerge w:val="restart"/>
            <w:vAlign w:val="center"/>
          </w:tcPr>
          <w:p>
            <w:pPr>
              <w:rPr>
                <w:rFonts w:ascii="Times New Roman" w:hAnsi="Times New Roman" w:eastAsia="仿宋_GB2312"/>
                <w:sz w:val="24"/>
                <w:szCs w:val="24"/>
              </w:rPr>
            </w:pPr>
            <w:r>
              <w:rPr>
                <w:rFonts w:hint="eastAsia" w:ascii="Times New Roman" w:hAnsi="Times New Roman" w:eastAsia="仿宋_GB2312"/>
                <w:sz w:val="24"/>
                <w:szCs w:val="24"/>
              </w:rPr>
              <w:t>《地质灾害风险调查评价技术要求(1:50 000)》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pStyle w:val="10"/>
              <w:numPr>
                <w:ilvl w:val="0"/>
                <w:numId w:val="1"/>
              </w:numPr>
              <w:ind w:firstLineChars="0"/>
              <w:rPr>
                <w:rFonts w:ascii="Times New Roman" w:hAnsi="Times New Roman" w:eastAsia="仿宋_GB2312"/>
                <w:sz w:val="24"/>
                <w:szCs w:val="24"/>
              </w:rPr>
            </w:pPr>
          </w:p>
        </w:tc>
        <w:tc>
          <w:tcPr>
            <w:tcW w:w="1231" w:type="dxa"/>
            <w:vMerge w:val="continue"/>
            <w:vAlign w:val="center"/>
          </w:tcPr>
          <w:p>
            <w:pPr>
              <w:rPr>
                <w:rFonts w:ascii="Times New Roman" w:hAnsi="Times New Roman" w:eastAsia="仿宋_GB2312"/>
                <w:sz w:val="24"/>
                <w:szCs w:val="24"/>
              </w:rPr>
            </w:pPr>
          </w:p>
        </w:tc>
        <w:tc>
          <w:tcPr>
            <w:tcW w:w="2125"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地质灾害隐患调查</w:t>
            </w:r>
          </w:p>
        </w:tc>
        <w:tc>
          <w:tcPr>
            <w:tcW w:w="213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9</w:t>
            </w:r>
          </w:p>
        </w:tc>
        <w:tc>
          <w:tcPr>
            <w:tcW w:w="3404"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开展年度地质灾害隐患调查，查明地质灾害隐患的变形特征。</w:t>
            </w:r>
          </w:p>
        </w:tc>
        <w:tc>
          <w:tcPr>
            <w:tcW w:w="2562"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编制地质灾害隐患分布图</w:t>
            </w:r>
          </w:p>
        </w:tc>
        <w:tc>
          <w:tcPr>
            <w:tcW w:w="2006" w:type="dxa"/>
            <w:vMerge w:val="continue"/>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pStyle w:val="10"/>
              <w:numPr>
                <w:ilvl w:val="0"/>
                <w:numId w:val="1"/>
              </w:numPr>
              <w:ind w:firstLineChars="0"/>
              <w:rPr>
                <w:rFonts w:ascii="Times New Roman" w:hAnsi="Times New Roman" w:eastAsia="仿宋_GB2312"/>
                <w:sz w:val="24"/>
                <w:szCs w:val="24"/>
              </w:rPr>
            </w:pPr>
          </w:p>
        </w:tc>
        <w:tc>
          <w:tcPr>
            <w:tcW w:w="1231" w:type="dxa"/>
            <w:vMerge w:val="continue"/>
            <w:vAlign w:val="center"/>
          </w:tcPr>
          <w:p>
            <w:pPr>
              <w:rPr>
                <w:rFonts w:ascii="Times New Roman" w:hAnsi="Times New Roman" w:eastAsia="仿宋_GB2312"/>
                <w:sz w:val="24"/>
                <w:szCs w:val="24"/>
              </w:rPr>
            </w:pPr>
          </w:p>
        </w:tc>
        <w:tc>
          <w:tcPr>
            <w:tcW w:w="2125"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地质灾害评估与区划</w:t>
            </w:r>
          </w:p>
        </w:tc>
        <w:tc>
          <w:tcPr>
            <w:tcW w:w="213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3404"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开展地质灾害风险评价与防治 区划工作。</w:t>
            </w:r>
          </w:p>
        </w:tc>
        <w:tc>
          <w:tcPr>
            <w:tcW w:w="2562"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1</w:t>
            </w:r>
            <w:r>
              <w:rPr>
                <w:rFonts w:hint="eastAsia" w:ascii="Times New Roman" w:hAnsi="Times New Roman" w:eastAsia="仿宋_GB2312"/>
                <w:sz w:val="24"/>
                <w:szCs w:val="24"/>
              </w:rPr>
              <w:t>）编制地质灾害风险区划图</w:t>
            </w:r>
          </w:p>
          <w:p>
            <w:pP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）编制地质灾害防治区划图</w:t>
            </w:r>
          </w:p>
          <w:p>
            <w:pP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3</w:t>
            </w:r>
            <w:r>
              <w:rPr>
                <w:rFonts w:hint="eastAsia" w:ascii="Times New Roman" w:hAnsi="Times New Roman" w:eastAsia="仿宋_GB2312"/>
                <w:sz w:val="24"/>
                <w:szCs w:val="24"/>
              </w:rPr>
              <w:t>）编制地质灾害风险普查技术报告</w:t>
            </w:r>
          </w:p>
        </w:tc>
        <w:tc>
          <w:tcPr>
            <w:tcW w:w="2006" w:type="dxa"/>
            <w:vMerge w:val="continue"/>
            <w:vAlign w:val="center"/>
          </w:tcPr>
          <w:p>
            <w:pPr>
              <w:rPr>
                <w:rFonts w:ascii="Times New Roman" w:hAnsi="Times New Roman" w:eastAsia="仿宋_GB2312"/>
                <w:sz w:val="24"/>
                <w:szCs w:val="24"/>
              </w:rPr>
            </w:pPr>
          </w:p>
        </w:tc>
      </w:tr>
    </w:tbl>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b/>
          <w:sz w:val="24"/>
          <w:szCs w:val="24"/>
        </w:rPr>
      </w:pPr>
      <w:r>
        <w:rPr>
          <w:rFonts w:hint="eastAsia" w:ascii="Times New Roman" w:hAnsi="Times New Roman" w:eastAsia="仿宋_GB2312"/>
          <w:b/>
          <w:sz w:val="24"/>
          <w:szCs w:val="24"/>
        </w:rPr>
        <w:t>3</w:t>
      </w:r>
      <w:r>
        <w:rPr>
          <w:rFonts w:hint="eastAsia" w:ascii="Times New Roman" w:hAnsi="Times New Roman" w:eastAsia="仿宋_GB2312"/>
          <w:b/>
          <w:sz w:val="24"/>
          <w:szCs w:val="24"/>
          <w:lang w:eastAsia="zh-CN"/>
        </w:rPr>
        <w:t>.</w:t>
      </w:r>
      <w:r>
        <w:rPr>
          <w:rFonts w:hint="eastAsia" w:ascii="Times New Roman" w:hAnsi="Times New Roman" w:eastAsia="仿宋_GB2312"/>
          <w:b/>
          <w:sz w:val="24"/>
          <w:szCs w:val="24"/>
        </w:rPr>
        <w:t>县水利局（根据4号文，P</w:t>
      </w:r>
      <w:r>
        <w:rPr>
          <w:rFonts w:ascii="Times New Roman" w:hAnsi="Times New Roman" w:eastAsia="仿宋_GB2312"/>
          <w:b/>
          <w:sz w:val="24"/>
          <w:szCs w:val="24"/>
        </w:rPr>
        <w:t>27</w:t>
      </w:r>
      <w:r>
        <w:rPr>
          <w:rFonts w:hint="eastAsia" w:ascii="Times New Roman" w:hAnsi="Times New Roman" w:eastAsia="仿宋_GB2312"/>
          <w:b/>
          <w:sz w:val="24"/>
          <w:szCs w:val="24"/>
        </w:rPr>
        <w:t>,全州县试点任务不涉及水旱灾害调查与评估）</w:t>
      </w:r>
    </w:p>
    <w:p>
      <w:pPr>
        <w:rPr>
          <w:rFonts w:ascii="Times New Roman" w:hAnsi="Times New Roman" w:eastAsia="仿宋_GB2312"/>
          <w:sz w:val="24"/>
          <w:szCs w:val="24"/>
        </w:rPr>
      </w:pPr>
    </w:p>
    <w:p>
      <w:pPr>
        <w:rPr>
          <w:rFonts w:ascii="Times New Roman" w:hAnsi="Times New Roman" w:eastAsia="仿宋_GB2312"/>
          <w:b/>
          <w:sz w:val="24"/>
          <w:szCs w:val="24"/>
        </w:rPr>
      </w:pPr>
      <w:r>
        <w:rPr>
          <w:rFonts w:ascii="Times New Roman" w:hAnsi="Times New Roman" w:eastAsia="仿宋_GB2312"/>
          <w:b/>
          <w:sz w:val="24"/>
          <w:szCs w:val="24"/>
        </w:rPr>
        <w:t>4.</w:t>
      </w:r>
      <w:r>
        <w:rPr>
          <w:rFonts w:hint="eastAsia" w:ascii="Times New Roman" w:hAnsi="Times New Roman" w:eastAsia="仿宋_GB2312"/>
          <w:b/>
          <w:sz w:val="24"/>
          <w:szCs w:val="24"/>
        </w:rPr>
        <w:t>县气象局（根据4号文P</w:t>
      </w:r>
      <w:r>
        <w:rPr>
          <w:rFonts w:ascii="Times New Roman" w:hAnsi="Times New Roman" w:eastAsia="仿宋_GB2312"/>
          <w:b/>
          <w:sz w:val="24"/>
          <w:szCs w:val="24"/>
        </w:rPr>
        <w:t>55</w:t>
      </w:r>
      <w:r>
        <w:rPr>
          <w:rFonts w:hint="eastAsia" w:ascii="Times New Roman" w:hAnsi="Times New Roman" w:eastAsia="仿宋_GB2312"/>
          <w:b/>
          <w:sz w:val="24"/>
          <w:szCs w:val="24"/>
        </w:rPr>
        <w:t>，全州县试点任务不涉及气象灾害风险评估与区划）</w:t>
      </w:r>
    </w:p>
    <w:p>
      <w:pPr>
        <w:rPr>
          <w:rFonts w:ascii="Times New Roman" w:hAnsi="Times New Roman" w:eastAsia="仿宋_GB2312"/>
          <w:b/>
          <w:sz w:val="24"/>
          <w:szCs w:val="24"/>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69"/>
        <w:gridCol w:w="1710"/>
        <w:gridCol w:w="4507"/>
        <w:gridCol w:w="3299"/>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blHeader/>
        </w:trPr>
        <w:tc>
          <w:tcPr>
            <w:tcW w:w="712"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序号</w:t>
            </w:r>
          </w:p>
        </w:tc>
        <w:tc>
          <w:tcPr>
            <w:tcW w:w="1169"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项目</w:t>
            </w:r>
          </w:p>
        </w:tc>
        <w:tc>
          <w:tcPr>
            <w:tcW w:w="1710"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分类</w:t>
            </w:r>
          </w:p>
        </w:tc>
        <w:tc>
          <w:tcPr>
            <w:tcW w:w="4507"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内容</w:t>
            </w:r>
          </w:p>
        </w:tc>
        <w:tc>
          <w:tcPr>
            <w:tcW w:w="3299"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成果</w:t>
            </w:r>
          </w:p>
        </w:tc>
        <w:tc>
          <w:tcPr>
            <w:tcW w:w="2777"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trPr>
        <w:tc>
          <w:tcPr>
            <w:tcW w:w="712" w:type="dxa"/>
            <w:vMerge w:val="restart"/>
            <w:vAlign w:val="center"/>
          </w:tcPr>
          <w:p>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c>
          <w:tcPr>
            <w:tcW w:w="1169" w:type="dxa"/>
            <w:vMerge w:val="restart"/>
            <w:vAlign w:val="center"/>
          </w:tcPr>
          <w:p>
            <w:pPr>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气象灾害致灾调查</w:t>
            </w:r>
          </w:p>
        </w:tc>
        <w:tc>
          <w:tcPr>
            <w:tcW w:w="1710" w:type="dxa"/>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气象灾害致灾事件调查</w:t>
            </w:r>
          </w:p>
        </w:tc>
        <w:tc>
          <w:tcPr>
            <w:tcW w:w="4507" w:type="dxa"/>
            <w:vAlign w:val="center"/>
          </w:tcPr>
          <w:p>
            <w:pPr>
              <w:spacing w:line="3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对全州县发生过的暴雨、气象干旱、高温、低温、风雹、雪灾、雷电等气象灾害事件、过程和影响进行调查，包括现有成果的转化和主要气象灾害危险性调查</w:t>
            </w:r>
          </w:p>
        </w:tc>
        <w:tc>
          <w:tcPr>
            <w:tcW w:w="3299" w:type="dxa"/>
            <w:vMerge w:val="restart"/>
            <w:vAlign w:val="center"/>
          </w:tcPr>
          <w:p>
            <w:pPr>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（1）全州县暴雨、气象干旱、高温、低温、风雹、雪灾、雷电7类气象灾害的面向不同承灾体和不同重现期致灾强度的危险性评估数据集。</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（2）全州县暴雨、气象干旱、高温、低温、风雹、雪灾、雷电7类气象灾害致灾因子危险性评估图谱（比例尺1:5 万）。</w:t>
            </w:r>
          </w:p>
        </w:tc>
        <w:tc>
          <w:tcPr>
            <w:tcW w:w="2777" w:type="dxa"/>
            <w:vMerge w:val="restart"/>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《暴雨灾害调查与风险评估技术规范》</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《低温灾害调查与风险评估技术规范》</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《气象干旱灾害调查与风险评估技术规范》</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《冰雹灾害调查与风险评估技术规范》</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《大风灾害调查与风险评估技术规范》《高温灾害调查与风险评估技术规范》</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《雷电灾害调查与风险评估技术规范》</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《雪灾灾害调查与风险评估技术规范》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2" w:type="dxa"/>
            <w:vMerge w:val="continue"/>
            <w:vAlign w:val="center"/>
          </w:tcPr>
          <w:p>
            <w:pPr>
              <w:jc w:val="center"/>
              <w:rPr>
                <w:rFonts w:ascii="Times New Roman" w:hAnsi="Times New Roman" w:eastAsia="仿宋_GB2312" w:cs="仿宋"/>
                <w:sz w:val="24"/>
                <w:szCs w:val="24"/>
              </w:rPr>
            </w:pPr>
          </w:p>
        </w:tc>
        <w:tc>
          <w:tcPr>
            <w:tcW w:w="1169" w:type="dxa"/>
            <w:vMerge w:val="continue"/>
            <w:vAlign w:val="center"/>
          </w:tcPr>
          <w:p>
            <w:pPr>
              <w:jc w:val="center"/>
              <w:rPr>
                <w:rFonts w:ascii="Times New Roman" w:hAnsi="Times New Roman" w:eastAsia="仿宋_GB2312" w:cs="仿宋"/>
                <w:sz w:val="24"/>
                <w:szCs w:val="24"/>
              </w:rPr>
            </w:pPr>
          </w:p>
        </w:tc>
        <w:tc>
          <w:tcPr>
            <w:tcW w:w="1710" w:type="dxa"/>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气象灾害危险性评估</w:t>
            </w:r>
          </w:p>
        </w:tc>
        <w:tc>
          <w:tcPr>
            <w:tcW w:w="4507" w:type="dxa"/>
            <w:vAlign w:val="center"/>
          </w:tcPr>
          <w:p>
            <w:pPr>
              <w:spacing w:line="3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根据国家建立的气象灾害危险性评估与制图方法、气象灾害事件数据库和技术标准规范，对全州县七类主要气象灾害的发生频次、强度、影响范围分别开展综合危险性评估。对气象灾害主要承灾体在特定时间段内出现致灾气象条件的危险性进行分析，评估不同重现期致灾气象条件在特定时空尺度下发生的强度水平。从灾害事件的过程和影响出发，对7类气象灾害的致灾因子综合危险性进行评估。</w:t>
            </w:r>
          </w:p>
        </w:tc>
        <w:tc>
          <w:tcPr>
            <w:tcW w:w="3299" w:type="dxa"/>
            <w:vMerge w:val="continue"/>
            <w:vAlign w:val="center"/>
          </w:tcPr>
          <w:p>
            <w:pPr>
              <w:jc w:val="center"/>
              <w:rPr>
                <w:rFonts w:ascii="Times New Roman" w:hAnsi="Times New Roman" w:eastAsia="仿宋_GB2312" w:cs="仿宋"/>
                <w:sz w:val="24"/>
                <w:szCs w:val="24"/>
              </w:rPr>
            </w:pPr>
          </w:p>
        </w:tc>
        <w:tc>
          <w:tcPr>
            <w:tcW w:w="2777" w:type="dxa"/>
            <w:vMerge w:val="continue"/>
            <w:vAlign w:val="center"/>
          </w:tcPr>
          <w:p>
            <w:pPr>
              <w:jc w:val="center"/>
              <w:rPr>
                <w:rFonts w:ascii="Times New Roman" w:hAnsi="Times New Roman" w:eastAsia="仿宋_GB2312" w:cs="仿宋"/>
                <w:sz w:val="24"/>
                <w:szCs w:val="24"/>
              </w:rPr>
            </w:pPr>
          </w:p>
        </w:tc>
      </w:tr>
    </w:tbl>
    <w:p>
      <w:pPr>
        <w:rPr>
          <w:rFonts w:ascii="Times New Roman" w:hAnsi="Times New Roman" w:eastAsia="仿宋_GB2312"/>
          <w:sz w:val="24"/>
          <w:szCs w:val="24"/>
        </w:rPr>
      </w:pPr>
    </w:p>
    <w:p>
      <w:pPr>
        <w:rPr>
          <w:rFonts w:ascii="Times New Roman" w:hAnsi="Times New Roman" w:eastAsia="仿宋_GB2312"/>
          <w:b/>
          <w:sz w:val="24"/>
          <w:szCs w:val="24"/>
        </w:rPr>
      </w:pPr>
      <w:r>
        <w:rPr>
          <w:rFonts w:ascii="Times New Roman" w:hAnsi="Times New Roman" w:eastAsia="仿宋_GB2312"/>
          <w:b/>
          <w:sz w:val="24"/>
          <w:szCs w:val="24"/>
        </w:rPr>
        <w:t>5</w:t>
      </w:r>
      <w:r>
        <w:rPr>
          <w:rFonts w:hint="eastAsia" w:ascii="Times New Roman" w:hAnsi="Times New Roman" w:eastAsia="仿宋_GB2312"/>
          <w:b/>
          <w:sz w:val="24"/>
          <w:szCs w:val="24"/>
          <w:lang w:eastAsia="zh-CN"/>
        </w:rPr>
        <w:t>.</w:t>
      </w:r>
      <w:r>
        <w:rPr>
          <w:rFonts w:hint="eastAsia" w:ascii="Times New Roman" w:hAnsi="Times New Roman" w:eastAsia="仿宋_GB2312"/>
          <w:b/>
          <w:sz w:val="24"/>
          <w:szCs w:val="24"/>
        </w:rPr>
        <w:t>县林业局</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5"/>
        <w:gridCol w:w="3433"/>
        <w:gridCol w:w="1100"/>
        <w:gridCol w:w="3430"/>
        <w:gridCol w:w="1987"/>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blHeader/>
        </w:trPr>
        <w:tc>
          <w:tcPr>
            <w:tcW w:w="1199"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序号</w:t>
            </w:r>
          </w:p>
        </w:tc>
        <w:tc>
          <w:tcPr>
            <w:tcW w:w="1035"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项目</w:t>
            </w:r>
          </w:p>
        </w:tc>
        <w:tc>
          <w:tcPr>
            <w:tcW w:w="3433"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分类</w:t>
            </w:r>
          </w:p>
        </w:tc>
        <w:tc>
          <w:tcPr>
            <w:tcW w:w="1100"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任务量</w:t>
            </w:r>
          </w:p>
        </w:tc>
        <w:tc>
          <w:tcPr>
            <w:tcW w:w="3430"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内容</w:t>
            </w:r>
          </w:p>
        </w:tc>
        <w:tc>
          <w:tcPr>
            <w:tcW w:w="1987"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成果</w:t>
            </w:r>
          </w:p>
        </w:tc>
        <w:tc>
          <w:tcPr>
            <w:tcW w:w="1990"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99" w:type="dxa"/>
            <w:vMerge w:val="restart"/>
            <w:vAlign w:val="center"/>
          </w:tcPr>
          <w:p>
            <w:pPr>
              <w:jc w:val="center"/>
              <w:rPr>
                <w:rFonts w:ascii="Times New Roman" w:hAnsi="Times New Roman" w:eastAsia="仿宋_GB2312" w:cs="仿宋"/>
                <w:sz w:val="24"/>
                <w:szCs w:val="24"/>
              </w:rPr>
            </w:pPr>
            <w:r>
              <w:rPr>
                <w:rFonts w:ascii="Times New Roman" w:hAnsi="Times New Roman" w:eastAsia="仿宋_GB2312" w:cs="仿宋"/>
                <w:sz w:val="24"/>
                <w:szCs w:val="24"/>
              </w:rPr>
              <w:t>1</w:t>
            </w:r>
          </w:p>
        </w:tc>
        <w:tc>
          <w:tcPr>
            <w:tcW w:w="1035" w:type="dxa"/>
            <w:vMerge w:val="restart"/>
            <w:vAlign w:val="center"/>
          </w:tcPr>
          <w:p>
            <w:pPr>
              <w:jc w:val="center"/>
              <w:rPr>
                <w:rFonts w:ascii="Times New Roman" w:hAnsi="Times New Roman" w:eastAsia="仿宋_GB2312"/>
                <w:color w:val="0D0D0D"/>
                <w:kern w:val="0"/>
                <w:sz w:val="24"/>
                <w:szCs w:val="24"/>
                <w:lang w:bidi="ar"/>
              </w:rPr>
            </w:pPr>
            <w:r>
              <w:rPr>
                <w:rFonts w:hint="eastAsia" w:ascii="Times New Roman" w:hAnsi="Times New Roman" w:eastAsia="仿宋_GB2312" w:cs="仿宋"/>
                <w:sz w:val="24"/>
                <w:szCs w:val="24"/>
                <w:lang w:bidi="zh-CN"/>
              </w:rPr>
              <w:t>森林火灾危险性调查</w:t>
            </w:r>
          </w:p>
        </w:tc>
        <w:tc>
          <w:tcPr>
            <w:tcW w:w="3433"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森林可燃物标准地专项调查及省级外业核查标准地数量</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8</w:t>
            </w:r>
            <w:r>
              <w:rPr>
                <w:rFonts w:ascii="Times New Roman" w:hAnsi="Times New Roman" w:eastAsia="仿宋_GB2312" w:cs="仿宋"/>
                <w:sz w:val="24"/>
              </w:rPr>
              <w:t>5</w:t>
            </w:r>
          </w:p>
        </w:tc>
        <w:tc>
          <w:tcPr>
            <w:tcW w:w="3430" w:type="dxa"/>
            <w:vMerge w:val="restart"/>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通过整合已有数据，确定森林火灾重点隐患调查区域，对全州县的森林火灾重点隐患实地排查与评价，完成全州县森林火灾隐患调查数据质检、入库汇总、分析和制图。</w:t>
            </w:r>
          </w:p>
        </w:tc>
        <w:tc>
          <w:tcPr>
            <w:tcW w:w="1987" w:type="dxa"/>
            <w:vMerge w:val="restart"/>
            <w:vAlign w:val="center"/>
          </w:tcPr>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（1）全州县森林可燃物外业调查数据成果；</w:t>
            </w:r>
          </w:p>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（2）全州县1:5森林可燃物类型及载量（属性）分布图；</w:t>
            </w:r>
          </w:p>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w:t>
            </w:r>
            <w:r>
              <w:rPr>
                <w:rFonts w:ascii="Times New Roman" w:hAnsi="Times New Roman" w:eastAsia="仿宋_GB2312" w:cs="仿宋"/>
                <w:sz w:val="24"/>
              </w:rPr>
              <w:t>3</w:t>
            </w:r>
            <w:r>
              <w:rPr>
                <w:rFonts w:hint="eastAsia" w:ascii="Times New Roman" w:hAnsi="Times New Roman" w:eastAsia="仿宋_GB2312" w:cs="仿宋"/>
                <w:sz w:val="24"/>
              </w:rPr>
              <w:t>）全州县1:5万林区野外火源分布图；</w:t>
            </w:r>
          </w:p>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（3）全州县森林火灾危险性调查与评估分析报告。</w:t>
            </w:r>
          </w:p>
        </w:tc>
        <w:tc>
          <w:tcPr>
            <w:tcW w:w="1990" w:type="dxa"/>
            <w:vMerge w:val="restart"/>
            <w:vAlign w:val="center"/>
          </w:tcPr>
          <w:p>
            <w:pPr>
              <w:spacing w:line="3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《森林可燃物标准地调查技术规程》、《森林可燃物大样地调查技术规程》、《森林和草原野外火源调查技术规程》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olor w:val="0D0D0D"/>
                <w:kern w:val="0"/>
                <w:sz w:val="24"/>
                <w:szCs w:val="24"/>
                <w:lang w:bidi="ar"/>
              </w:rPr>
            </w:pPr>
          </w:p>
        </w:tc>
        <w:tc>
          <w:tcPr>
            <w:tcW w:w="3433"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森林可燃物大样地调查及省级核查大样地数量</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9</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olor w:val="0D0D0D"/>
                <w:kern w:val="0"/>
                <w:sz w:val="24"/>
                <w:szCs w:val="24"/>
                <w:lang w:bidi="ar"/>
              </w:rPr>
            </w:pPr>
          </w:p>
        </w:tc>
        <w:tc>
          <w:tcPr>
            <w:tcW w:w="3433"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野外火源采集及省级抽查检查面积（万公顷）</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2</w:t>
            </w:r>
            <w:r>
              <w:rPr>
                <w:rFonts w:ascii="Times New Roman" w:hAnsi="Times New Roman" w:eastAsia="仿宋_GB2312" w:cs="仿宋"/>
                <w:sz w:val="24"/>
              </w:rPr>
              <w:t>8.20</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olor w:val="0D0D0D"/>
                <w:kern w:val="0"/>
                <w:sz w:val="24"/>
                <w:szCs w:val="24"/>
                <w:lang w:bidi="ar"/>
              </w:rPr>
            </w:pPr>
          </w:p>
        </w:tc>
        <w:tc>
          <w:tcPr>
            <w:tcW w:w="3433"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各类型森林可燃物载量测算、可燃物危险性评估分析面积（万公顷）</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2</w:t>
            </w:r>
            <w:r>
              <w:rPr>
                <w:rFonts w:ascii="Times New Roman" w:hAnsi="Times New Roman" w:eastAsia="仿宋_GB2312" w:cs="仿宋"/>
                <w:sz w:val="24"/>
              </w:rPr>
              <w:t>6.85</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olor w:val="0D0D0D"/>
                <w:kern w:val="0"/>
                <w:sz w:val="24"/>
                <w:szCs w:val="24"/>
                <w:lang w:bidi="ar"/>
              </w:rPr>
            </w:pPr>
          </w:p>
        </w:tc>
        <w:tc>
          <w:tcPr>
            <w:tcW w:w="3433"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森林火灾危险性调查与评估数据质检、入库汇总、分析、制图</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olor w:val="0D0D0D"/>
                <w:kern w:val="0"/>
                <w:sz w:val="24"/>
                <w:szCs w:val="24"/>
                <w:lang w:bidi="ar"/>
              </w:rPr>
            </w:pPr>
          </w:p>
        </w:tc>
        <w:tc>
          <w:tcPr>
            <w:tcW w:w="3433"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森林可燃物标准地专项调查及省级外业核查</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199" w:type="dxa"/>
            <w:vMerge w:val="restart"/>
            <w:vAlign w:val="center"/>
          </w:tcPr>
          <w:p>
            <w:pPr>
              <w:jc w:val="center"/>
              <w:rPr>
                <w:rFonts w:ascii="Times New Roman" w:hAnsi="Times New Roman" w:eastAsia="仿宋_GB2312" w:cs="仿宋"/>
                <w:sz w:val="24"/>
                <w:szCs w:val="24"/>
              </w:rPr>
            </w:pPr>
            <w:r>
              <w:rPr>
                <w:rFonts w:ascii="Times New Roman" w:hAnsi="Times New Roman" w:eastAsia="仿宋_GB2312" w:cs="仿宋"/>
                <w:sz w:val="24"/>
                <w:szCs w:val="24"/>
              </w:rPr>
              <w:t>2</w:t>
            </w:r>
          </w:p>
        </w:tc>
        <w:tc>
          <w:tcPr>
            <w:tcW w:w="1035" w:type="dxa"/>
            <w:vMerge w:val="restart"/>
            <w:vAlign w:val="center"/>
          </w:tcPr>
          <w:p>
            <w:pPr>
              <w:jc w:val="center"/>
              <w:rPr>
                <w:rFonts w:ascii="Times New Roman" w:hAnsi="Times New Roman" w:eastAsia="仿宋_GB2312" w:cs="仿宋"/>
                <w:sz w:val="24"/>
                <w:szCs w:val="24"/>
                <w:lang w:bidi="zh-CN"/>
              </w:rPr>
            </w:pPr>
            <w:r>
              <w:rPr>
                <w:rFonts w:hint="eastAsia" w:ascii="Times New Roman" w:hAnsi="Times New Roman" w:eastAsia="仿宋_GB2312" w:cs="仿宋"/>
                <w:sz w:val="24"/>
                <w:szCs w:val="24"/>
                <w:lang w:bidi="zh-CN"/>
              </w:rPr>
              <w:t>森林火灾重点隐患调查</w:t>
            </w:r>
          </w:p>
        </w:tc>
        <w:tc>
          <w:tcPr>
            <w:tcW w:w="3433" w:type="dxa"/>
            <w:vAlign w:val="center"/>
          </w:tcPr>
          <w:p>
            <w:pPr>
              <w:pStyle w:val="12"/>
              <w:spacing w:before="28"/>
              <w:ind w:left="13"/>
              <w:rPr>
                <w:rFonts w:ascii="Times New Roman" w:hAnsi="Times New Roman" w:eastAsia="仿宋_GB2312" w:cs="仿宋"/>
                <w:sz w:val="24"/>
              </w:rPr>
            </w:pPr>
            <w:r>
              <w:rPr>
                <w:rFonts w:hint="eastAsia" w:ascii="Times New Roman" w:hAnsi="Times New Roman" w:eastAsia="仿宋_GB2312" w:cs="仿宋"/>
                <w:sz w:val="24"/>
              </w:rPr>
              <w:t>森林火灾隐患调查前期工作与实地排查</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restart"/>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通过整合已有数据，确定森林火灾重点隐患调查区域，对全州县的森林火灾重点隐患实地排查与评价，完成全州县森林火灾隐患调查数据质检、入库汇总、分析和制图。</w:t>
            </w:r>
          </w:p>
        </w:tc>
        <w:tc>
          <w:tcPr>
            <w:tcW w:w="1987" w:type="dxa"/>
            <w:vMerge w:val="restart"/>
            <w:vAlign w:val="center"/>
          </w:tcPr>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（1）全州县森林火灾重点隐患分布图（1:5万）；</w:t>
            </w:r>
          </w:p>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（2）全州县森林火灾重点隐患等级分布图（1:5万）。</w:t>
            </w:r>
          </w:p>
        </w:tc>
        <w:tc>
          <w:tcPr>
            <w:tcW w:w="1990" w:type="dxa"/>
            <w:vMerge w:val="restart"/>
            <w:vAlign w:val="center"/>
          </w:tcPr>
          <w:p>
            <w:pPr>
              <w:spacing w:line="3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《森林可燃物标准地调查技术规程》、《森林可燃物大样地调查技术规程》、《森林和草原野外火源调查技术规程》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s="仿宋"/>
                <w:sz w:val="24"/>
                <w:szCs w:val="24"/>
                <w:lang w:bidi="zh-CN"/>
              </w:rPr>
            </w:pPr>
          </w:p>
        </w:tc>
        <w:tc>
          <w:tcPr>
            <w:tcW w:w="3433" w:type="dxa"/>
            <w:vAlign w:val="center"/>
          </w:tcPr>
          <w:p>
            <w:pPr>
              <w:pStyle w:val="12"/>
              <w:spacing w:before="31"/>
              <w:ind w:left="13"/>
              <w:rPr>
                <w:rFonts w:ascii="Times New Roman" w:hAnsi="Times New Roman" w:eastAsia="仿宋_GB2312" w:cs="仿宋"/>
                <w:sz w:val="24"/>
              </w:rPr>
            </w:pPr>
            <w:r>
              <w:rPr>
                <w:rFonts w:hint="eastAsia" w:ascii="Times New Roman" w:hAnsi="Times New Roman" w:eastAsia="仿宋_GB2312" w:cs="仿宋"/>
                <w:sz w:val="24"/>
              </w:rPr>
              <w:t>森林火灾隐患评价</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s="仿宋"/>
                <w:sz w:val="24"/>
                <w:szCs w:val="24"/>
                <w:lang w:bidi="zh-CN"/>
              </w:rPr>
            </w:pPr>
          </w:p>
        </w:tc>
        <w:tc>
          <w:tcPr>
            <w:tcW w:w="3433" w:type="dxa"/>
            <w:vAlign w:val="center"/>
          </w:tcPr>
          <w:p>
            <w:pPr>
              <w:pStyle w:val="12"/>
              <w:spacing w:before="28"/>
              <w:ind w:left="13"/>
              <w:rPr>
                <w:rFonts w:ascii="Times New Roman" w:hAnsi="Times New Roman" w:eastAsia="仿宋_GB2312" w:cs="仿宋"/>
                <w:sz w:val="24"/>
              </w:rPr>
            </w:pPr>
            <w:r>
              <w:rPr>
                <w:rFonts w:hint="eastAsia" w:ascii="Times New Roman" w:hAnsi="Times New Roman" w:eastAsia="仿宋_GB2312" w:cs="仿宋"/>
                <w:sz w:val="24"/>
              </w:rPr>
              <w:t>森林火灾隐患数据质检与核查、入库汇总、分析制图</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199" w:type="dxa"/>
            <w:vMerge w:val="restart"/>
            <w:vAlign w:val="center"/>
          </w:tcPr>
          <w:p>
            <w:pPr>
              <w:jc w:val="center"/>
              <w:rPr>
                <w:rFonts w:ascii="Times New Roman" w:hAnsi="Times New Roman" w:eastAsia="仿宋_GB2312" w:cs="仿宋"/>
                <w:sz w:val="24"/>
                <w:szCs w:val="24"/>
              </w:rPr>
            </w:pPr>
            <w:r>
              <w:rPr>
                <w:rFonts w:ascii="Times New Roman" w:hAnsi="Times New Roman" w:eastAsia="仿宋_GB2312" w:cs="仿宋"/>
                <w:sz w:val="24"/>
                <w:szCs w:val="24"/>
              </w:rPr>
              <w:t>3</w:t>
            </w:r>
          </w:p>
        </w:tc>
        <w:tc>
          <w:tcPr>
            <w:tcW w:w="1035" w:type="dxa"/>
            <w:vMerge w:val="restart"/>
            <w:vAlign w:val="center"/>
          </w:tcPr>
          <w:p>
            <w:pPr>
              <w:jc w:val="center"/>
              <w:rPr>
                <w:rFonts w:ascii="Times New Roman" w:hAnsi="Times New Roman" w:eastAsia="仿宋_GB2312" w:cs="仿宋"/>
                <w:sz w:val="24"/>
                <w:szCs w:val="24"/>
                <w:lang w:bidi="zh-CN"/>
              </w:rPr>
            </w:pPr>
            <w:r>
              <w:rPr>
                <w:rFonts w:hint="eastAsia" w:ascii="Times New Roman" w:hAnsi="Times New Roman" w:eastAsia="仿宋_GB2312" w:cs="仿宋"/>
                <w:sz w:val="24"/>
                <w:szCs w:val="24"/>
                <w:lang w:val="zh-CN" w:bidi="zh-CN"/>
              </w:rPr>
              <w:t>森林火灾风险评估</w:t>
            </w:r>
            <w:r>
              <w:rPr>
                <w:rFonts w:hint="eastAsia" w:ascii="Times New Roman" w:hAnsi="Times New Roman" w:eastAsia="仿宋_GB2312" w:cs="仿宋"/>
                <w:sz w:val="24"/>
                <w:szCs w:val="24"/>
                <w:lang w:bidi="zh-CN"/>
              </w:rPr>
              <w:t>与区划</w:t>
            </w:r>
          </w:p>
        </w:tc>
        <w:tc>
          <w:tcPr>
            <w:tcW w:w="3433" w:type="dxa"/>
            <w:vAlign w:val="center"/>
          </w:tcPr>
          <w:p>
            <w:pPr>
              <w:pStyle w:val="12"/>
              <w:spacing w:before="28"/>
              <w:ind w:left="16"/>
              <w:rPr>
                <w:rFonts w:ascii="Times New Roman" w:hAnsi="Times New Roman" w:eastAsia="仿宋_GB2312" w:cs="仿宋"/>
                <w:sz w:val="24"/>
              </w:rPr>
            </w:pPr>
            <w:r>
              <w:rPr>
                <w:rFonts w:hint="eastAsia" w:ascii="Times New Roman" w:hAnsi="Times New Roman" w:eastAsia="仿宋_GB2312" w:cs="仿宋"/>
                <w:sz w:val="24"/>
              </w:rPr>
              <w:t>森林火灾风险评估</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restart"/>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森林火灾风险评估与区划：收集全州县历史火灾资料、致灾孕灾要素数据（气象、可燃物、火源）和承灾体要素数据（人口、经济、自然资源与环境）；依据县级评估模型和指标体系，进行风险评估；根据风险评估结果分等级区划；结合防治减灾调查数据进行森林火灾风险的防治区划。</w:t>
            </w:r>
          </w:p>
        </w:tc>
        <w:tc>
          <w:tcPr>
            <w:tcW w:w="1987" w:type="dxa"/>
            <w:vMerge w:val="restart"/>
            <w:vAlign w:val="center"/>
          </w:tcPr>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（1）全州县1:5万森林火灾风险分布图；</w:t>
            </w:r>
          </w:p>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（2）全州县森林火灾风险区划分布图；</w:t>
            </w:r>
          </w:p>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（3）全州县森林火灾防治区划分布图；</w:t>
            </w:r>
          </w:p>
          <w:p>
            <w:pPr>
              <w:pStyle w:val="12"/>
              <w:spacing w:line="249" w:lineRule="auto"/>
              <w:ind w:left="109" w:right="93"/>
              <w:rPr>
                <w:rFonts w:ascii="Times New Roman" w:hAnsi="Times New Roman" w:eastAsia="仿宋_GB2312" w:cs="仿宋"/>
                <w:sz w:val="24"/>
              </w:rPr>
            </w:pPr>
            <w:r>
              <w:rPr>
                <w:rFonts w:hint="eastAsia" w:ascii="Times New Roman" w:hAnsi="Times New Roman" w:eastAsia="仿宋_GB2312" w:cs="仿宋"/>
                <w:sz w:val="24"/>
              </w:rPr>
              <w:t>（4）全州县森林火灾风险评估与区划分析报告。</w:t>
            </w:r>
          </w:p>
        </w:tc>
        <w:tc>
          <w:tcPr>
            <w:tcW w:w="1990" w:type="dxa"/>
            <w:vMerge w:val="restart"/>
            <w:vAlign w:val="center"/>
          </w:tcPr>
          <w:p>
            <w:pPr>
              <w:spacing w:line="3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《森林可燃物标准地调查技术规程》、《森林可燃物大样地调查技术规程》、《森林和草原野外火源调查技术规程》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s="仿宋"/>
                <w:sz w:val="24"/>
                <w:szCs w:val="24"/>
                <w:lang w:val="zh-CN" w:bidi="zh-CN"/>
              </w:rPr>
            </w:pPr>
          </w:p>
        </w:tc>
        <w:tc>
          <w:tcPr>
            <w:tcW w:w="3433" w:type="dxa"/>
            <w:vAlign w:val="center"/>
          </w:tcPr>
          <w:p>
            <w:pPr>
              <w:pStyle w:val="12"/>
              <w:spacing w:before="31"/>
              <w:ind w:left="16"/>
              <w:rPr>
                <w:rFonts w:ascii="Times New Roman" w:hAnsi="Times New Roman" w:eastAsia="仿宋_GB2312" w:cs="仿宋"/>
                <w:sz w:val="24"/>
              </w:rPr>
            </w:pPr>
            <w:r>
              <w:rPr>
                <w:rFonts w:hint="eastAsia" w:ascii="Times New Roman" w:hAnsi="Times New Roman" w:eastAsia="仿宋_GB2312" w:cs="仿宋"/>
                <w:sz w:val="24"/>
              </w:rPr>
              <w:t>森林火灾风险区划</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s="仿宋"/>
                <w:sz w:val="24"/>
                <w:szCs w:val="24"/>
                <w:lang w:val="zh-CN" w:bidi="zh-CN"/>
              </w:rPr>
            </w:pPr>
          </w:p>
        </w:tc>
        <w:tc>
          <w:tcPr>
            <w:tcW w:w="3433" w:type="dxa"/>
            <w:vAlign w:val="center"/>
          </w:tcPr>
          <w:p>
            <w:pPr>
              <w:pStyle w:val="12"/>
              <w:spacing w:before="28"/>
              <w:ind w:left="16"/>
              <w:rPr>
                <w:rFonts w:ascii="Times New Roman" w:hAnsi="Times New Roman" w:eastAsia="仿宋_GB2312" w:cs="仿宋"/>
                <w:sz w:val="24"/>
              </w:rPr>
            </w:pPr>
            <w:r>
              <w:rPr>
                <w:rFonts w:hint="eastAsia" w:ascii="Times New Roman" w:hAnsi="Times New Roman" w:eastAsia="仿宋_GB2312" w:cs="仿宋"/>
                <w:sz w:val="24"/>
              </w:rPr>
              <w:t>森林火灾防治区划</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1199" w:type="dxa"/>
            <w:vMerge w:val="continue"/>
            <w:vAlign w:val="center"/>
          </w:tcPr>
          <w:p>
            <w:pPr>
              <w:jc w:val="center"/>
              <w:rPr>
                <w:rFonts w:ascii="Times New Roman" w:hAnsi="Times New Roman" w:eastAsia="仿宋_GB2312" w:cs="仿宋"/>
                <w:sz w:val="24"/>
                <w:szCs w:val="24"/>
              </w:rPr>
            </w:pPr>
          </w:p>
        </w:tc>
        <w:tc>
          <w:tcPr>
            <w:tcW w:w="1035" w:type="dxa"/>
            <w:vMerge w:val="continue"/>
            <w:vAlign w:val="center"/>
          </w:tcPr>
          <w:p>
            <w:pPr>
              <w:jc w:val="center"/>
              <w:rPr>
                <w:rFonts w:ascii="Times New Roman" w:hAnsi="Times New Roman" w:eastAsia="仿宋_GB2312" w:cs="仿宋"/>
                <w:sz w:val="24"/>
                <w:szCs w:val="24"/>
                <w:lang w:val="zh-CN" w:bidi="zh-CN"/>
              </w:rPr>
            </w:pPr>
          </w:p>
        </w:tc>
        <w:tc>
          <w:tcPr>
            <w:tcW w:w="3433" w:type="dxa"/>
            <w:vAlign w:val="center"/>
          </w:tcPr>
          <w:p>
            <w:pPr>
              <w:pStyle w:val="12"/>
              <w:spacing w:before="28"/>
              <w:ind w:left="16"/>
              <w:rPr>
                <w:rFonts w:ascii="Times New Roman" w:hAnsi="Times New Roman" w:eastAsia="仿宋_GB2312" w:cs="仿宋"/>
                <w:sz w:val="24"/>
              </w:rPr>
            </w:pPr>
            <w:r>
              <w:rPr>
                <w:rFonts w:hint="eastAsia" w:ascii="Times New Roman" w:hAnsi="Times New Roman" w:eastAsia="仿宋_GB2312" w:cs="仿宋"/>
                <w:sz w:val="24"/>
              </w:rPr>
              <w:t>森林火灾风险区划与核查数据质检、核查、入库汇总</w:t>
            </w:r>
          </w:p>
        </w:tc>
        <w:tc>
          <w:tcPr>
            <w:tcW w:w="1100" w:type="dxa"/>
            <w:vAlign w:val="center"/>
          </w:tcPr>
          <w:p>
            <w:pPr>
              <w:pStyle w:val="12"/>
              <w:spacing w:before="16" w:line="249" w:lineRule="auto"/>
              <w:ind w:left="108" w:right="94"/>
              <w:rPr>
                <w:rFonts w:ascii="Times New Roman" w:hAnsi="Times New Roman" w:eastAsia="仿宋_GB2312" w:cs="仿宋"/>
                <w:sz w:val="24"/>
              </w:rPr>
            </w:pPr>
            <w:r>
              <w:rPr>
                <w:rFonts w:hint="eastAsia" w:ascii="Times New Roman" w:hAnsi="Times New Roman" w:eastAsia="仿宋_GB2312" w:cs="仿宋"/>
                <w:sz w:val="24"/>
              </w:rPr>
              <w:t>--</w:t>
            </w:r>
          </w:p>
        </w:tc>
        <w:tc>
          <w:tcPr>
            <w:tcW w:w="3430" w:type="dxa"/>
            <w:vMerge w:val="continue"/>
            <w:vAlign w:val="center"/>
          </w:tcPr>
          <w:p>
            <w:pPr>
              <w:pStyle w:val="12"/>
              <w:spacing w:before="16" w:line="249" w:lineRule="auto"/>
              <w:ind w:left="108" w:right="94"/>
              <w:rPr>
                <w:rFonts w:ascii="Times New Roman" w:hAnsi="Times New Roman" w:eastAsia="仿宋_GB2312" w:cs="仿宋"/>
                <w:sz w:val="24"/>
              </w:rPr>
            </w:pPr>
          </w:p>
        </w:tc>
        <w:tc>
          <w:tcPr>
            <w:tcW w:w="1987" w:type="dxa"/>
            <w:vMerge w:val="continue"/>
            <w:vAlign w:val="center"/>
          </w:tcPr>
          <w:p>
            <w:pPr>
              <w:pStyle w:val="12"/>
              <w:spacing w:line="249" w:lineRule="auto"/>
              <w:ind w:left="109" w:right="93"/>
              <w:rPr>
                <w:rFonts w:ascii="Times New Roman" w:hAnsi="Times New Roman" w:eastAsia="仿宋_GB2312" w:cs="仿宋"/>
                <w:sz w:val="24"/>
              </w:rPr>
            </w:pPr>
          </w:p>
        </w:tc>
        <w:tc>
          <w:tcPr>
            <w:tcW w:w="1990" w:type="dxa"/>
            <w:vMerge w:val="continue"/>
            <w:vAlign w:val="center"/>
          </w:tcPr>
          <w:p>
            <w:pPr>
              <w:spacing w:line="360" w:lineRule="exact"/>
              <w:rPr>
                <w:rFonts w:ascii="Times New Roman" w:hAnsi="Times New Roman" w:eastAsia="仿宋_GB2312" w:cs="仿宋"/>
                <w:sz w:val="24"/>
                <w:szCs w:val="24"/>
              </w:rPr>
            </w:pPr>
          </w:p>
        </w:tc>
      </w:tr>
    </w:tbl>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hint="eastAsia"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b/>
          <w:sz w:val="24"/>
          <w:szCs w:val="24"/>
        </w:rPr>
      </w:pPr>
      <w:r>
        <w:rPr>
          <w:rFonts w:ascii="Times New Roman" w:hAnsi="Times New Roman" w:eastAsia="仿宋_GB2312"/>
          <w:b/>
          <w:sz w:val="24"/>
          <w:szCs w:val="24"/>
        </w:rPr>
        <w:t>6</w:t>
      </w:r>
      <w:r>
        <w:rPr>
          <w:rFonts w:hint="eastAsia" w:ascii="Times New Roman" w:hAnsi="Times New Roman" w:eastAsia="仿宋_GB2312"/>
          <w:b/>
          <w:sz w:val="24"/>
          <w:szCs w:val="24"/>
          <w:lang w:eastAsia="zh-CN"/>
        </w:rPr>
        <w:t>.</w:t>
      </w:r>
      <w:r>
        <w:rPr>
          <w:rFonts w:hint="eastAsia" w:ascii="Times New Roman" w:hAnsi="Times New Roman" w:eastAsia="仿宋_GB2312"/>
          <w:b/>
          <w:sz w:val="24"/>
          <w:szCs w:val="24"/>
        </w:rPr>
        <w:t>县地震监测中心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73"/>
        <w:gridCol w:w="2163"/>
        <w:gridCol w:w="1006"/>
        <w:gridCol w:w="4899"/>
        <w:gridCol w:w="266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序号</w:t>
            </w:r>
          </w:p>
        </w:tc>
        <w:tc>
          <w:tcPr>
            <w:tcW w:w="873"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项目</w:t>
            </w:r>
          </w:p>
        </w:tc>
        <w:tc>
          <w:tcPr>
            <w:tcW w:w="2163"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分类</w:t>
            </w:r>
          </w:p>
        </w:tc>
        <w:tc>
          <w:tcPr>
            <w:tcW w:w="1006"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任务量</w:t>
            </w:r>
          </w:p>
        </w:tc>
        <w:tc>
          <w:tcPr>
            <w:tcW w:w="4899"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实施内容</w:t>
            </w:r>
          </w:p>
        </w:tc>
        <w:tc>
          <w:tcPr>
            <w:tcW w:w="2668"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目标获成果</w:t>
            </w:r>
          </w:p>
        </w:tc>
        <w:tc>
          <w:tcPr>
            <w:tcW w:w="1715" w:type="dxa"/>
            <w:vAlign w:val="center"/>
          </w:tcPr>
          <w:p>
            <w:pPr>
              <w:jc w:val="center"/>
              <w:rPr>
                <w:rFonts w:ascii="Times New Roman" w:hAnsi="Times New Roman" w:eastAsia="仿宋_GB2312"/>
                <w:b/>
                <w:sz w:val="24"/>
                <w:szCs w:val="24"/>
              </w:rPr>
            </w:pPr>
            <w:r>
              <w:rPr>
                <w:rFonts w:hint="eastAsia" w:ascii="Times New Roman" w:hAnsi="Times New Roman" w:eastAsia="仿宋_GB2312"/>
                <w:b/>
                <w:sz w:val="24"/>
                <w:szCs w:val="24"/>
              </w:rPr>
              <w:t>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850" w:type="dxa"/>
            <w:vMerge w:val="restart"/>
            <w:vAlign w:val="center"/>
          </w:tcPr>
          <w:p>
            <w:pPr>
              <w:pStyle w:val="10"/>
              <w:numPr>
                <w:ilvl w:val="0"/>
                <w:numId w:val="2"/>
              </w:numPr>
              <w:ind w:firstLineChars="0"/>
              <w:rPr>
                <w:rFonts w:ascii="Times New Roman" w:hAnsi="Times New Roman" w:eastAsia="仿宋_GB2312"/>
                <w:sz w:val="24"/>
                <w:szCs w:val="24"/>
              </w:rPr>
            </w:pPr>
          </w:p>
        </w:tc>
        <w:tc>
          <w:tcPr>
            <w:tcW w:w="873" w:type="dxa"/>
            <w:vMerge w:val="restart"/>
            <w:vAlign w:val="center"/>
          </w:tcPr>
          <w:p>
            <w:pPr>
              <w:rPr>
                <w:rFonts w:ascii="Times New Roman" w:hAnsi="Times New Roman" w:eastAsia="仿宋_GB2312"/>
                <w:sz w:val="24"/>
                <w:szCs w:val="24"/>
              </w:rPr>
            </w:pPr>
            <w:r>
              <w:rPr>
                <w:rFonts w:hint="eastAsia" w:ascii="Times New Roman" w:hAnsi="Times New Roman" w:eastAsia="仿宋_GB2312"/>
                <w:sz w:val="24"/>
                <w:szCs w:val="24"/>
              </w:rPr>
              <w:t>地震灾害调查</w:t>
            </w:r>
          </w:p>
        </w:tc>
        <w:tc>
          <w:tcPr>
            <w:tcW w:w="2163"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地震构造资料收集与补充调查、风险区划及防治区划资料收集</w:t>
            </w:r>
          </w:p>
        </w:tc>
        <w:tc>
          <w:tcPr>
            <w:tcW w:w="1006"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全州县行政区</w:t>
            </w:r>
          </w:p>
        </w:tc>
        <w:tc>
          <w:tcPr>
            <w:tcW w:w="4899"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利用综合原始地形资料解译、空间对地观测、地面地质地貌调查、地球物理勘探、钻探和槽探等技术，开展地震构造图资料收集与补充调查，完成全州县地震构造数据集、地震构造图（比例尺1：25万）、地震构造调查报告和区域地震构造图说明书。</w:t>
            </w:r>
          </w:p>
        </w:tc>
        <w:tc>
          <w:tcPr>
            <w:tcW w:w="2668"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（1）完成全州县地震构造数据集；</w:t>
            </w:r>
          </w:p>
          <w:p>
            <w:pP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）全州县地震构造图（比例尺1：25万）；</w:t>
            </w:r>
          </w:p>
          <w:p>
            <w:pPr>
              <w:rPr>
                <w:rFonts w:ascii="Times New Roman" w:hAnsi="Times New Roman" w:eastAsia="仿宋_GB2312"/>
                <w:sz w:val="24"/>
                <w:szCs w:val="24"/>
              </w:rPr>
            </w:pPr>
            <w:r>
              <w:rPr>
                <w:rFonts w:hint="eastAsia" w:ascii="Times New Roman" w:hAnsi="Times New Roman" w:eastAsia="仿宋_GB2312"/>
                <w:sz w:val="24"/>
                <w:szCs w:val="24"/>
              </w:rPr>
              <w:t>（3）全州县地震构造调查报告和区域地震构造图说明书。</w:t>
            </w:r>
          </w:p>
        </w:tc>
        <w:tc>
          <w:tcPr>
            <w:tcW w:w="1715" w:type="dxa"/>
            <w:vMerge w:val="restart"/>
            <w:vAlign w:val="center"/>
          </w:tcPr>
          <w:p>
            <w:pPr>
              <w:pStyle w:val="10"/>
              <w:ind w:firstLine="0" w:firstLineChars="0"/>
              <w:rPr>
                <w:rFonts w:ascii="Times New Roman" w:hAnsi="Times New Roman" w:eastAsia="仿宋_GB2312"/>
                <w:sz w:val="24"/>
                <w:szCs w:val="24"/>
              </w:rPr>
            </w:pPr>
            <w:r>
              <w:rPr>
                <w:rFonts w:hint="eastAsia" w:ascii="Times New Roman" w:hAnsi="Times New Roman" w:eastAsia="仿宋_GB2312"/>
                <w:sz w:val="24"/>
                <w:szCs w:val="24"/>
              </w:rPr>
              <w:t>《全国1：100万区域地震构造图编制》、《场地地震工程地质条件调查》、《活动断层探察1：25万地震构造图编制》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pStyle w:val="10"/>
              <w:numPr>
                <w:ilvl w:val="0"/>
                <w:numId w:val="2"/>
              </w:numPr>
              <w:ind w:firstLineChars="0"/>
              <w:rPr>
                <w:rFonts w:ascii="Times New Roman" w:hAnsi="Times New Roman" w:eastAsia="仿宋_GB2312"/>
                <w:sz w:val="24"/>
                <w:szCs w:val="24"/>
              </w:rPr>
            </w:pPr>
          </w:p>
        </w:tc>
        <w:tc>
          <w:tcPr>
            <w:tcW w:w="873" w:type="dxa"/>
            <w:vMerge w:val="continue"/>
            <w:vAlign w:val="center"/>
          </w:tcPr>
          <w:p>
            <w:pPr>
              <w:rPr>
                <w:rFonts w:ascii="Times New Roman" w:hAnsi="Times New Roman" w:eastAsia="仿宋_GB2312"/>
                <w:sz w:val="24"/>
                <w:szCs w:val="24"/>
              </w:rPr>
            </w:pPr>
          </w:p>
        </w:tc>
        <w:tc>
          <w:tcPr>
            <w:tcW w:w="2163"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地震工程条件钻孔与调查</w:t>
            </w:r>
          </w:p>
        </w:tc>
        <w:tc>
          <w:tcPr>
            <w:tcW w:w="1006"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1个</w:t>
            </w:r>
          </w:p>
        </w:tc>
        <w:tc>
          <w:tcPr>
            <w:tcW w:w="4899"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利用钻探、波速测试、土动力学测试开展地震工程条件钻孔与调查，完成全州县地震工程地质钻孔数据集。</w:t>
            </w:r>
          </w:p>
        </w:tc>
        <w:tc>
          <w:tcPr>
            <w:tcW w:w="2668"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（1）完成全州县地震工程地质钻孔数据集。</w:t>
            </w:r>
          </w:p>
        </w:tc>
        <w:tc>
          <w:tcPr>
            <w:tcW w:w="1715" w:type="dxa"/>
            <w:vMerge w:val="continue"/>
            <w:vAlign w:val="center"/>
          </w:tcPr>
          <w:p>
            <w:pPr>
              <w:rPr>
                <w:rFonts w:ascii="Times New Roman" w:hAnsi="Times New Roman" w:eastAsia="仿宋_GB2312"/>
                <w:sz w:val="24"/>
                <w:szCs w:val="24"/>
              </w:rPr>
            </w:pPr>
          </w:p>
        </w:tc>
      </w:tr>
    </w:tbl>
    <w:p>
      <w:pPr>
        <w:spacing w:before="156" w:beforeLines="50"/>
        <w:rPr>
          <w:rFonts w:ascii="Times New Roman" w:hAnsi="Times New Roman" w:eastAsia="仿宋_GB2312"/>
          <w:b/>
          <w:sz w:val="24"/>
          <w:szCs w:val="24"/>
        </w:rPr>
      </w:pPr>
      <w:r>
        <w:rPr>
          <w:rFonts w:hint="eastAsia" w:ascii="Times New Roman" w:hAnsi="Times New Roman" w:eastAsia="仿宋_GB2312"/>
          <w:b/>
          <w:sz w:val="24"/>
          <w:szCs w:val="24"/>
        </w:rPr>
        <w:t>7</w:t>
      </w:r>
      <w:r>
        <w:rPr>
          <w:rFonts w:hint="eastAsia" w:ascii="Times New Roman" w:hAnsi="Times New Roman" w:eastAsia="仿宋_GB2312"/>
          <w:b/>
          <w:sz w:val="24"/>
          <w:szCs w:val="24"/>
          <w:lang w:eastAsia="zh-CN"/>
        </w:rPr>
        <w:t>.</w:t>
      </w:r>
      <w:r>
        <w:rPr>
          <w:rFonts w:hint="eastAsia" w:ascii="Times New Roman" w:hAnsi="Times New Roman" w:eastAsia="仿宋_GB2312"/>
          <w:b/>
          <w:sz w:val="24"/>
          <w:szCs w:val="24"/>
        </w:rPr>
        <w:t>县住房和城乡建设局</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24"/>
        <w:gridCol w:w="2022"/>
        <w:gridCol w:w="2091"/>
        <w:gridCol w:w="3387"/>
        <w:gridCol w:w="1688"/>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122"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序号</w:t>
            </w:r>
          </w:p>
        </w:tc>
        <w:tc>
          <w:tcPr>
            <w:tcW w:w="1824"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项目</w:t>
            </w:r>
          </w:p>
        </w:tc>
        <w:tc>
          <w:tcPr>
            <w:tcW w:w="2022"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分类</w:t>
            </w:r>
          </w:p>
        </w:tc>
        <w:tc>
          <w:tcPr>
            <w:tcW w:w="2091"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参考任务量</w:t>
            </w:r>
          </w:p>
        </w:tc>
        <w:tc>
          <w:tcPr>
            <w:tcW w:w="3387"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内容</w:t>
            </w:r>
          </w:p>
        </w:tc>
        <w:tc>
          <w:tcPr>
            <w:tcW w:w="1688"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成果</w:t>
            </w:r>
          </w:p>
        </w:tc>
        <w:tc>
          <w:tcPr>
            <w:tcW w:w="2040" w:type="dxa"/>
            <w:vAlign w:val="center"/>
          </w:tcPr>
          <w:p>
            <w:pPr>
              <w:jc w:val="center"/>
              <w:rPr>
                <w:rFonts w:ascii="Times New Roman" w:hAnsi="Times New Roman" w:eastAsia="仿宋_GB2312" w:cs="仿宋"/>
                <w:b/>
                <w:bCs/>
                <w:sz w:val="24"/>
                <w:szCs w:val="24"/>
              </w:rPr>
            </w:pPr>
            <w:r>
              <w:rPr>
                <w:rFonts w:hint="eastAsia" w:ascii="Times New Roman" w:hAnsi="Times New Roman" w:eastAsia="仿宋_GB2312" w:cs="仿宋"/>
                <w:b/>
                <w:bCs/>
                <w:sz w:val="24"/>
                <w:szCs w:val="24"/>
              </w:rPr>
              <w:t>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2" w:type="dxa"/>
            <w:vMerge w:val="restart"/>
            <w:vAlign w:val="center"/>
          </w:tcPr>
          <w:p>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c>
          <w:tcPr>
            <w:tcW w:w="1824" w:type="dxa"/>
            <w:vMerge w:val="restart"/>
            <w:vAlign w:val="center"/>
          </w:tcPr>
          <w:p>
            <w:pPr>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房屋建筑和市政设施调查</w:t>
            </w:r>
          </w:p>
        </w:tc>
        <w:tc>
          <w:tcPr>
            <w:tcW w:w="2022" w:type="dxa"/>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房屋</w:t>
            </w:r>
          </w:p>
        </w:tc>
        <w:tc>
          <w:tcPr>
            <w:tcW w:w="2091" w:type="dxa"/>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686</w:t>
            </w:r>
            <w:r>
              <w:rPr>
                <w:rFonts w:hint="eastAsia" w:ascii="Times New Roman" w:hAnsi="Times New Roman" w:eastAsia="仿宋_GB2312" w:cs="Times New Roman"/>
                <w:sz w:val="24"/>
                <w:szCs w:val="24"/>
              </w:rPr>
              <w:t>万平米</w:t>
            </w:r>
          </w:p>
        </w:tc>
        <w:tc>
          <w:tcPr>
            <w:tcW w:w="3387" w:type="dxa"/>
            <w:vMerge w:val="restart"/>
            <w:vAlign w:val="center"/>
          </w:tcPr>
          <w:p>
            <w:pPr>
              <w:spacing w:line="360" w:lineRule="exact"/>
              <w:rPr>
                <w:rFonts w:ascii="Times New Roman" w:hAnsi="Times New Roman" w:eastAsia="仿宋_GB2312" w:cs="仿宋"/>
                <w:sz w:val="24"/>
                <w:szCs w:val="24"/>
              </w:rPr>
            </w:pPr>
            <w:r>
              <w:rPr>
                <w:rFonts w:hint="eastAsia" w:ascii="Times New Roman" w:hAnsi="Times New Roman" w:eastAsia="仿宋_GB2312" w:cs="Times New Roman"/>
                <w:sz w:val="24"/>
                <w:szCs w:val="24"/>
              </w:rPr>
              <w:t>采用遥感影像识别、现场采集、抽样详查、数据核查等手段，在全州县开展房屋建筑地理位置、建筑用途、建筑面积、结构类型、设防基本情况以及市政设施类型、数量、设防基本情况等信息调查工作。</w:t>
            </w:r>
          </w:p>
        </w:tc>
        <w:tc>
          <w:tcPr>
            <w:tcW w:w="1688" w:type="dxa"/>
            <w:vMerge w:val="restart"/>
            <w:vAlign w:val="center"/>
          </w:tcPr>
          <w:p>
            <w:pPr>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形成全州县房屋建筑和市政设施调查数据集。</w:t>
            </w:r>
          </w:p>
        </w:tc>
        <w:tc>
          <w:tcPr>
            <w:tcW w:w="2040" w:type="dxa"/>
            <w:vMerge w:val="restart"/>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《市政设施承灾体调查技术导则》</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《城镇房屋建筑调查技术导则》</w:t>
            </w:r>
          </w:p>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《农村房屋建筑承灾体调查导则》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2" w:type="dxa"/>
            <w:vMerge w:val="continue"/>
            <w:vAlign w:val="center"/>
          </w:tcPr>
          <w:p>
            <w:pPr>
              <w:jc w:val="center"/>
              <w:rPr>
                <w:rFonts w:ascii="Times New Roman" w:hAnsi="Times New Roman" w:eastAsia="仿宋_GB2312" w:cs="仿宋"/>
                <w:sz w:val="24"/>
                <w:szCs w:val="24"/>
              </w:rPr>
            </w:pPr>
          </w:p>
        </w:tc>
        <w:tc>
          <w:tcPr>
            <w:tcW w:w="1824" w:type="dxa"/>
            <w:vMerge w:val="continue"/>
            <w:vAlign w:val="center"/>
          </w:tcPr>
          <w:p>
            <w:pPr>
              <w:jc w:val="center"/>
              <w:rPr>
                <w:rFonts w:ascii="Times New Roman" w:hAnsi="Times New Roman" w:eastAsia="仿宋_GB2312" w:cs="仿宋"/>
                <w:sz w:val="24"/>
                <w:szCs w:val="24"/>
              </w:rPr>
            </w:pPr>
          </w:p>
        </w:tc>
        <w:tc>
          <w:tcPr>
            <w:tcW w:w="2022" w:type="dxa"/>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桥梁</w:t>
            </w:r>
          </w:p>
        </w:tc>
        <w:tc>
          <w:tcPr>
            <w:tcW w:w="2091" w:type="dxa"/>
            <w:vAlign w:val="center"/>
          </w:tcPr>
          <w:p>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2</w:t>
            </w:r>
            <w:r>
              <w:rPr>
                <w:rFonts w:ascii="Times New Roman" w:hAnsi="Times New Roman" w:eastAsia="仿宋_GB2312" w:cs="仿宋"/>
                <w:sz w:val="24"/>
                <w:szCs w:val="24"/>
              </w:rPr>
              <w:t>5</w:t>
            </w:r>
            <w:r>
              <w:rPr>
                <w:rFonts w:hint="eastAsia" w:ascii="Times New Roman" w:hAnsi="Times New Roman" w:eastAsia="仿宋_GB2312" w:cs="仿宋"/>
                <w:sz w:val="24"/>
                <w:szCs w:val="24"/>
              </w:rPr>
              <w:t>座</w:t>
            </w:r>
          </w:p>
        </w:tc>
        <w:tc>
          <w:tcPr>
            <w:tcW w:w="3387" w:type="dxa"/>
            <w:vMerge w:val="continue"/>
            <w:vAlign w:val="center"/>
          </w:tcPr>
          <w:p>
            <w:pPr>
              <w:jc w:val="center"/>
              <w:rPr>
                <w:rFonts w:ascii="Times New Roman" w:hAnsi="Times New Roman" w:eastAsia="仿宋_GB2312" w:cs="仿宋"/>
                <w:sz w:val="24"/>
                <w:szCs w:val="24"/>
              </w:rPr>
            </w:pPr>
          </w:p>
        </w:tc>
        <w:tc>
          <w:tcPr>
            <w:tcW w:w="1688" w:type="dxa"/>
            <w:vMerge w:val="continue"/>
            <w:vAlign w:val="center"/>
          </w:tcPr>
          <w:p>
            <w:pPr>
              <w:jc w:val="center"/>
              <w:rPr>
                <w:rFonts w:ascii="Times New Roman" w:hAnsi="Times New Roman" w:eastAsia="仿宋_GB2312" w:cs="仿宋"/>
                <w:sz w:val="24"/>
                <w:szCs w:val="24"/>
              </w:rPr>
            </w:pPr>
          </w:p>
        </w:tc>
        <w:tc>
          <w:tcPr>
            <w:tcW w:w="2040" w:type="dxa"/>
            <w:vMerge w:val="continue"/>
            <w:vAlign w:val="center"/>
          </w:tcPr>
          <w:p>
            <w:pPr>
              <w:jc w:val="center"/>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122" w:type="dxa"/>
            <w:vMerge w:val="continue"/>
            <w:vAlign w:val="center"/>
          </w:tcPr>
          <w:p>
            <w:pPr>
              <w:jc w:val="center"/>
              <w:rPr>
                <w:rFonts w:ascii="Times New Roman" w:hAnsi="Times New Roman" w:eastAsia="仿宋_GB2312" w:cs="仿宋"/>
                <w:sz w:val="24"/>
                <w:szCs w:val="24"/>
              </w:rPr>
            </w:pPr>
          </w:p>
        </w:tc>
        <w:tc>
          <w:tcPr>
            <w:tcW w:w="1824" w:type="dxa"/>
            <w:vMerge w:val="continue"/>
            <w:vAlign w:val="center"/>
          </w:tcPr>
          <w:p>
            <w:pPr>
              <w:jc w:val="center"/>
              <w:rPr>
                <w:rFonts w:ascii="Times New Roman" w:hAnsi="Times New Roman" w:eastAsia="仿宋_GB2312" w:cs="仿宋"/>
                <w:sz w:val="24"/>
                <w:szCs w:val="24"/>
              </w:rPr>
            </w:pPr>
          </w:p>
        </w:tc>
        <w:tc>
          <w:tcPr>
            <w:tcW w:w="2022" w:type="dxa"/>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市政道路</w:t>
            </w:r>
          </w:p>
        </w:tc>
        <w:tc>
          <w:tcPr>
            <w:tcW w:w="2091" w:type="dxa"/>
            <w:vAlign w:val="center"/>
          </w:tcPr>
          <w:p>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r>
              <w:rPr>
                <w:rFonts w:ascii="Times New Roman" w:hAnsi="Times New Roman" w:eastAsia="仿宋_GB2312" w:cs="仿宋"/>
                <w:sz w:val="24"/>
                <w:szCs w:val="24"/>
              </w:rPr>
              <w:t>20</w:t>
            </w:r>
            <w:r>
              <w:rPr>
                <w:rFonts w:hint="eastAsia" w:ascii="Times New Roman" w:hAnsi="Times New Roman" w:eastAsia="仿宋_GB2312" w:cs="仿宋"/>
                <w:sz w:val="24"/>
                <w:szCs w:val="24"/>
              </w:rPr>
              <w:t>公里</w:t>
            </w:r>
          </w:p>
        </w:tc>
        <w:tc>
          <w:tcPr>
            <w:tcW w:w="3387" w:type="dxa"/>
            <w:vMerge w:val="continue"/>
            <w:vAlign w:val="center"/>
          </w:tcPr>
          <w:p>
            <w:pPr>
              <w:jc w:val="center"/>
              <w:rPr>
                <w:rFonts w:ascii="Times New Roman" w:hAnsi="Times New Roman" w:eastAsia="仿宋_GB2312" w:cs="仿宋"/>
                <w:sz w:val="24"/>
                <w:szCs w:val="24"/>
              </w:rPr>
            </w:pPr>
          </w:p>
        </w:tc>
        <w:tc>
          <w:tcPr>
            <w:tcW w:w="1688" w:type="dxa"/>
            <w:vMerge w:val="continue"/>
            <w:vAlign w:val="center"/>
          </w:tcPr>
          <w:p>
            <w:pPr>
              <w:jc w:val="center"/>
              <w:rPr>
                <w:rFonts w:ascii="Times New Roman" w:hAnsi="Times New Roman" w:eastAsia="仿宋_GB2312" w:cs="仿宋"/>
                <w:sz w:val="24"/>
                <w:szCs w:val="24"/>
              </w:rPr>
            </w:pPr>
          </w:p>
        </w:tc>
        <w:tc>
          <w:tcPr>
            <w:tcW w:w="2040" w:type="dxa"/>
            <w:vMerge w:val="continue"/>
            <w:vAlign w:val="center"/>
          </w:tcPr>
          <w:p>
            <w:pPr>
              <w:jc w:val="center"/>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22" w:type="dxa"/>
            <w:vMerge w:val="continue"/>
            <w:vAlign w:val="center"/>
          </w:tcPr>
          <w:p>
            <w:pPr>
              <w:jc w:val="center"/>
              <w:rPr>
                <w:rFonts w:ascii="Times New Roman" w:hAnsi="Times New Roman" w:eastAsia="仿宋_GB2312" w:cs="仿宋"/>
                <w:sz w:val="24"/>
                <w:szCs w:val="24"/>
              </w:rPr>
            </w:pPr>
          </w:p>
        </w:tc>
        <w:tc>
          <w:tcPr>
            <w:tcW w:w="1824" w:type="dxa"/>
            <w:vMerge w:val="continue"/>
            <w:vAlign w:val="center"/>
          </w:tcPr>
          <w:p>
            <w:pPr>
              <w:jc w:val="center"/>
              <w:rPr>
                <w:rFonts w:ascii="Times New Roman" w:hAnsi="Times New Roman" w:eastAsia="仿宋_GB2312" w:cs="仿宋"/>
                <w:sz w:val="24"/>
                <w:szCs w:val="24"/>
              </w:rPr>
            </w:pPr>
          </w:p>
        </w:tc>
        <w:tc>
          <w:tcPr>
            <w:tcW w:w="2022" w:type="dxa"/>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供水管线</w:t>
            </w:r>
          </w:p>
        </w:tc>
        <w:tc>
          <w:tcPr>
            <w:tcW w:w="2091" w:type="dxa"/>
            <w:vAlign w:val="center"/>
          </w:tcPr>
          <w:p>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3</w:t>
            </w:r>
            <w:r>
              <w:rPr>
                <w:rFonts w:ascii="Times New Roman" w:hAnsi="Times New Roman" w:eastAsia="仿宋_GB2312" w:cs="仿宋"/>
                <w:sz w:val="24"/>
                <w:szCs w:val="24"/>
              </w:rPr>
              <w:t>00</w:t>
            </w:r>
            <w:r>
              <w:rPr>
                <w:rFonts w:hint="eastAsia" w:ascii="Times New Roman" w:hAnsi="Times New Roman" w:eastAsia="仿宋_GB2312" w:cs="仿宋"/>
                <w:sz w:val="24"/>
                <w:szCs w:val="24"/>
              </w:rPr>
              <w:t>公里</w:t>
            </w:r>
          </w:p>
        </w:tc>
        <w:tc>
          <w:tcPr>
            <w:tcW w:w="3387" w:type="dxa"/>
            <w:vMerge w:val="continue"/>
            <w:vAlign w:val="center"/>
          </w:tcPr>
          <w:p>
            <w:pPr>
              <w:jc w:val="center"/>
              <w:rPr>
                <w:rFonts w:ascii="Times New Roman" w:hAnsi="Times New Roman" w:eastAsia="仿宋_GB2312" w:cs="仿宋"/>
                <w:sz w:val="24"/>
                <w:szCs w:val="24"/>
              </w:rPr>
            </w:pPr>
          </w:p>
        </w:tc>
        <w:tc>
          <w:tcPr>
            <w:tcW w:w="1688" w:type="dxa"/>
            <w:vMerge w:val="continue"/>
            <w:vAlign w:val="center"/>
          </w:tcPr>
          <w:p>
            <w:pPr>
              <w:jc w:val="center"/>
              <w:rPr>
                <w:rFonts w:ascii="Times New Roman" w:hAnsi="Times New Roman" w:eastAsia="仿宋_GB2312" w:cs="仿宋"/>
                <w:sz w:val="24"/>
                <w:szCs w:val="24"/>
              </w:rPr>
            </w:pPr>
          </w:p>
        </w:tc>
        <w:tc>
          <w:tcPr>
            <w:tcW w:w="2040" w:type="dxa"/>
            <w:vMerge w:val="continue"/>
            <w:vAlign w:val="center"/>
          </w:tcPr>
          <w:p>
            <w:pPr>
              <w:jc w:val="center"/>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2" w:type="dxa"/>
            <w:vMerge w:val="continue"/>
            <w:vAlign w:val="center"/>
          </w:tcPr>
          <w:p>
            <w:pPr>
              <w:jc w:val="center"/>
              <w:rPr>
                <w:rFonts w:ascii="Times New Roman" w:hAnsi="Times New Roman" w:eastAsia="仿宋_GB2312" w:cs="仿宋"/>
                <w:sz w:val="24"/>
                <w:szCs w:val="24"/>
              </w:rPr>
            </w:pPr>
          </w:p>
        </w:tc>
        <w:tc>
          <w:tcPr>
            <w:tcW w:w="1824" w:type="dxa"/>
            <w:vMerge w:val="continue"/>
            <w:vAlign w:val="center"/>
          </w:tcPr>
          <w:p>
            <w:pPr>
              <w:jc w:val="center"/>
              <w:rPr>
                <w:rFonts w:ascii="Times New Roman" w:hAnsi="Times New Roman" w:eastAsia="仿宋_GB2312" w:cs="仿宋"/>
                <w:sz w:val="24"/>
                <w:szCs w:val="24"/>
              </w:rPr>
            </w:pPr>
          </w:p>
        </w:tc>
        <w:tc>
          <w:tcPr>
            <w:tcW w:w="2022" w:type="dxa"/>
            <w:vAlign w:val="center"/>
          </w:tcPr>
          <w:p>
            <w:pPr>
              <w:spacing w:line="3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供水厂</w:t>
            </w:r>
          </w:p>
        </w:tc>
        <w:tc>
          <w:tcPr>
            <w:tcW w:w="2091" w:type="dxa"/>
            <w:vAlign w:val="center"/>
          </w:tcPr>
          <w:p>
            <w:pPr>
              <w:jc w:val="center"/>
              <w:rPr>
                <w:rFonts w:ascii="Times New Roman" w:hAnsi="Times New Roman" w:eastAsia="仿宋_GB2312" w:cs="仿宋"/>
                <w:sz w:val="24"/>
                <w:szCs w:val="24"/>
              </w:rPr>
            </w:pPr>
            <w:r>
              <w:rPr>
                <w:rFonts w:hint="eastAsia" w:ascii="Times New Roman" w:hAnsi="Times New Roman" w:eastAsia="仿宋_GB2312" w:cs="仿宋"/>
                <w:sz w:val="24"/>
                <w:szCs w:val="24"/>
              </w:rPr>
              <w:t>1座</w:t>
            </w:r>
          </w:p>
        </w:tc>
        <w:tc>
          <w:tcPr>
            <w:tcW w:w="3387" w:type="dxa"/>
            <w:vMerge w:val="continue"/>
            <w:vAlign w:val="center"/>
          </w:tcPr>
          <w:p>
            <w:pPr>
              <w:jc w:val="center"/>
              <w:rPr>
                <w:rFonts w:ascii="Times New Roman" w:hAnsi="Times New Roman" w:eastAsia="仿宋_GB2312" w:cs="仿宋"/>
                <w:sz w:val="24"/>
                <w:szCs w:val="24"/>
              </w:rPr>
            </w:pPr>
          </w:p>
        </w:tc>
        <w:tc>
          <w:tcPr>
            <w:tcW w:w="1688" w:type="dxa"/>
            <w:vMerge w:val="continue"/>
            <w:vAlign w:val="center"/>
          </w:tcPr>
          <w:p>
            <w:pPr>
              <w:jc w:val="center"/>
              <w:rPr>
                <w:rFonts w:ascii="Times New Roman" w:hAnsi="Times New Roman" w:eastAsia="仿宋_GB2312" w:cs="仿宋"/>
                <w:sz w:val="24"/>
                <w:szCs w:val="24"/>
              </w:rPr>
            </w:pPr>
          </w:p>
        </w:tc>
        <w:tc>
          <w:tcPr>
            <w:tcW w:w="2040" w:type="dxa"/>
            <w:vMerge w:val="continue"/>
            <w:vAlign w:val="center"/>
          </w:tcPr>
          <w:p>
            <w:pPr>
              <w:jc w:val="center"/>
              <w:rPr>
                <w:rFonts w:ascii="Times New Roman" w:hAnsi="Times New Roman" w:eastAsia="仿宋_GB2312" w:cs="仿宋"/>
                <w:sz w:val="24"/>
                <w:szCs w:val="24"/>
              </w:rPr>
            </w:pPr>
          </w:p>
        </w:tc>
      </w:tr>
    </w:tbl>
    <w:p>
      <w:pPr>
        <w:rPr>
          <w:rFonts w:hint="eastAsia" w:ascii="Times New Roman" w:hAnsi="Times New Roman" w:eastAsia="仿宋_GB2312"/>
          <w:sz w:val="24"/>
          <w:szCs w:val="24"/>
        </w:rPr>
      </w:pPr>
      <w:r>
        <w:rPr>
          <w:rFonts w:hint="eastAsia" w:ascii="Times New Roman" w:hAnsi="Times New Roman" w:eastAsia="仿宋_GB2312"/>
          <w:sz w:val="24"/>
          <w:szCs w:val="24"/>
        </w:rPr>
        <w:t xml:space="preserve">注：房屋调查任务量按区域总人口与人均房屋面积的相关统计数据估算得到。 </w:t>
      </w:r>
    </w:p>
    <w:p>
      <w:pPr>
        <w:rPr>
          <w:rFonts w:ascii="Times New Roman" w:hAnsi="Times New Roman" w:eastAsia="仿宋_GB2312"/>
          <w:sz w:val="24"/>
          <w:szCs w:val="24"/>
        </w:rPr>
      </w:pPr>
    </w:p>
    <w:p>
      <w:pPr>
        <w:rPr>
          <w:rFonts w:ascii="Times New Roman" w:hAnsi="Times New Roman" w:eastAsia="仿宋_GB2312"/>
          <w:sz w:val="24"/>
          <w:szCs w:val="24"/>
        </w:rPr>
      </w:pPr>
      <w:r>
        <w:rPr>
          <w:rFonts w:hint="eastAsia" w:ascii="Times New Roman" w:hAnsi="Times New Roman" w:eastAsia="仿宋_GB2312"/>
          <w:b/>
          <w:sz w:val="24"/>
          <w:szCs w:val="24"/>
        </w:rPr>
        <w:t>8</w:t>
      </w:r>
      <w:r>
        <w:rPr>
          <w:rFonts w:hint="eastAsia" w:ascii="Times New Roman" w:hAnsi="Times New Roman" w:eastAsia="仿宋_GB2312"/>
          <w:b/>
          <w:sz w:val="24"/>
          <w:szCs w:val="24"/>
          <w:lang w:eastAsia="zh-CN"/>
        </w:rPr>
        <w:t>.</w:t>
      </w:r>
      <w:r>
        <w:rPr>
          <w:rFonts w:hint="eastAsia" w:ascii="Times New Roman" w:hAnsi="Times New Roman" w:eastAsia="仿宋_GB2312"/>
          <w:b/>
          <w:sz w:val="24"/>
          <w:szCs w:val="24"/>
        </w:rPr>
        <w:t>县交通运输局</w:t>
      </w:r>
    </w:p>
    <w:tbl>
      <w:tblPr>
        <w:tblStyle w:val="13"/>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17"/>
        <w:gridCol w:w="2509"/>
        <w:gridCol w:w="1729"/>
        <w:gridCol w:w="4513"/>
        <w:gridCol w:w="1806"/>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91"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序号</w:t>
            </w:r>
          </w:p>
        </w:tc>
        <w:tc>
          <w:tcPr>
            <w:tcW w:w="717"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项目</w:t>
            </w:r>
          </w:p>
        </w:tc>
        <w:tc>
          <w:tcPr>
            <w:tcW w:w="2509"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分类</w:t>
            </w:r>
          </w:p>
        </w:tc>
        <w:tc>
          <w:tcPr>
            <w:tcW w:w="1729"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参考任务量</w:t>
            </w:r>
          </w:p>
        </w:tc>
        <w:tc>
          <w:tcPr>
            <w:tcW w:w="4513"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内容</w:t>
            </w:r>
          </w:p>
        </w:tc>
        <w:tc>
          <w:tcPr>
            <w:tcW w:w="1806"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成果</w:t>
            </w:r>
          </w:p>
        </w:tc>
        <w:tc>
          <w:tcPr>
            <w:tcW w:w="1809" w:type="dxa"/>
            <w:vAlign w:val="center"/>
          </w:tcPr>
          <w:p>
            <w:pPr>
              <w:jc w:val="center"/>
              <w:rPr>
                <w:rFonts w:ascii="Times New Roman" w:hAnsi="Times New Roman" w:eastAsia="仿宋_GB2312" w:cs="仿宋"/>
                <w:b/>
                <w:bCs/>
                <w:kern w:val="0"/>
                <w:sz w:val="24"/>
                <w:szCs w:val="24"/>
              </w:rPr>
            </w:pPr>
            <w:r>
              <w:rPr>
                <w:rFonts w:hint="eastAsia" w:ascii="Times New Roman" w:hAnsi="Times New Roman" w:eastAsia="仿宋_GB2312" w:cs="仿宋"/>
                <w:b/>
                <w:bCs/>
                <w:kern w:val="0"/>
                <w:sz w:val="24"/>
                <w:szCs w:val="24"/>
              </w:rPr>
              <w:t>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91" w:type="dxa"/>
            <w:vMerge w:val="restart"/>
            <w:vAlign w:val="center"/>
          </w:tcPr>
          <w:p>
            <w:pPr>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1</w:t>
            </w:r>
          </w:p>
        </w:tc>
        <w:tc>
          <w:tcPr>
            <w:tcW w:w="717"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公路和水路调查</w:t>
            </w:r>
          </w:p>
        </w:tc>
        <w:tc>
          <w:tcPr>
            <w:tcW w:w="2509" w:type="dxa"/>
            <w:vAlign w:val="center"/>
          </w:tcPr>
          <w:p>
            <w:pPr>
              <w:spacing w:line="360" w:lineRule="exact"/>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高速、国省干线公路</w:t>
            </w:r>
          </w:p>
        </w:tc>
        <w:tc>
          <w:tcPr>
            <w:tcW w:w="1729" w:type="dxa"/>
            <w:vAlign w:val="center"/>
          </w:tcPr>
          <w:p>
            <w:pPr>
              <w:spacing w:line="360" w:lineRule="exact"/>
              <w:jc w:val="center"/>
              <w:rPr>
                <w:rFonts w:ascii="Times New Roman" w:hAnsi="Times New Roman" w:eastAsia="仿宋_GB2312" w:cs="仿宋"/>
                <w:color w:val="0D0D0D"/>
                <w:kern w:val="0"/>
                <w:sz w:val="24"/>
                <w:szCs w:val="24"/>
                <w:lang w:bidi="ar"/>
              </w:rPr>
            </w:pPr>
            <w:r>
              <w:rPr>
                <w:rFonts w:hint="eastAsia" w:ascii="Times New Roman" w:hAnsi="Times New Roman" w:eastAsia="仿宋_GB2312" w:cs="仿宋"/>
                <w:color w:val="0D0D0D"/>
                <w:kern w:val="0"/>
                <w:sz w:val="24"/>
                <w:szCs w:val="24"/>
                <w:lang w:bidi="ar"/>
              </w:rPr>
              <w:t>3</w:t>
            </w:r>
            <w:r>
              <w:rPr>
                <w:rFonts w:ascii="Times New Roman" w:hAnsi="Times New Roman" w:eastAsia="仿宋_GB2312" w:cs="仿宋"/>
                <w:color w:val="0D0D0D"/>
                <w:kern w:val="0"/>
                <w:sz w:val="24"/>
                <w:szCs w:val="24"/>
                <w:lang w:bidi="ar"/>
              </w:rPr>
              <w:t>80</w:t>
            </w:r>
            <w:r>
              <w:rPr>
                <w:rFonts w:hint="eastAsia" w:ascii="Times New Roman" w:hAnsi="Times New Roman" w:eastAsia="仿宋_GB2312" w:cs="仿宋"/>
                <w:color w:val="0D0D0D"/>
                <w:kern w:val="0"/>
                <w:sz w:val="24"/>
                <w:szCs w:val="24"/>
                <w:lang w:bidi="ar"/>
              </w:rPr>
              <w:t>公里</w:t>
            </w:r>
          </w:p>
        </w:tc>
        <w:tc>
          <w:tcPr>
            <w:tcW w:w="4513" w:type="dxa"/>
            <w:vMerge w:val="restart"/>
            <w:vAlign w:val="center"/>
          </w:tcPr>
          <w:p>
            <w:pPr>
              <w:spacing w:line="360" w:lineRule="exact"/>
              <w:rPr>
                <w:rFonts w:ascii="Times New Roman" w:hAnsi="Times New Roman" w:eastAsia="仿宋_GB2312" w:cs="仿宋"/>
                <w:kern w:val="0"/>
                <w:sz w:val="24"/>
                <w:szCs w:val="24"/>
              </w:rPr>
            </w:pPr>
            <w:r>
              <w:rPr>
                <w:rFonts w:hint="eastAsia" w:ascii="Times New Roman" w:hAnsi="Times New Roman" w:eastAsia="仿宋_GB2312" w:cs="仿宋"/>
                <w:color w:val="0D0D0D"/>
                <w:kern w:val="0"/>
                <w:sz w:val="24"/>
                <w:szCs w:val="24"/>
                <w:lang w:bidi="ar"/>
              </w:rPr>
              <w:t>核准和补充调查全州县区域高速公路、普通国道、省道公路、农村公路、口岸公路和界河桥梁的地理位置、类别、等级、建造年代、功能属性和自然灾害设防水平及自然灾害点等信息；b.调查主要港口和地区性重要港口、三级及以上航道及通航建筑物、航运枢纽以及其附属设施的地理位置、物理属性和设防水平等信息。</w:t>
            </w:r>
          </w:p>
        </w:tc>
        <w:tc>
          <w:tcPr>
            <w:tcW w:w="1806" w:type="dxa"/>
            <w:vMerge w:val="restart"/>
            <w:vAlign w:val="center"/>
          </w:tcPr>
          <w:p>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形成全州县公路、水运设施单体调查数据集。</w:t>
            </w:r>
          </w:p>
        </w:tc>
        <w:tc>
          <w:tcPr>
            <w:tcW w:w="1809" w:type="dxa"/>
            <w:vMerge w:val="restart"/>
            <w:vAlign w:val="center"/>
          </w:tcPr>
          <w:p>
            <w:pPr>
              <w:spacing w:line="360" w:lineRule="exact"/>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《自然灾害综合风险公路承灾体普查技术指南》</w:t>
            </w:r>
          </w:p>
          <w:p>
            <w:pPr>
              <w:spacing w:line="360" w:lineRule="exact"/>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《自然灾害风险水路承灾体调查技术指南》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91" w:type="dxa"/>
            <w:vMerge w:val="continue"/>
            <w:vAlign w:val="center"/>
          </w:tcPr>
          <w:p>
            <w:pPr>
              <w:jc w:val="center"/>
              <w:rPr>
                <w:rFonts w:ascii="Times New Roman" w:hAnsi="Times New Roman" w:eastAsia="仿宋_GB2312" w:cs="仿宋"/>
                <w:kern w:val="0"/>
                <w:sz w:val="24"/>
                <w:szCs w:val="24"/>
              </w:rPr>
            </w:pPr>
          </w:p>
        </w:tc>
        <w:tc>
          <w:tcPr>
            <w:tcW w:w="717" w:type="dxa"/>
            <w:vMerge w:val="continue"/>
            <w:vAlign w:val="center"/>
          </w:tcPr>
          <w:p>
            <w:pPr>
              <w:spacing w:line="360" w:lineRule="exact"/>
              <w:rPr>
                <w:rFonts w:ascii="Times New Roman" w:hAnsi="Times New Roman" w:eastAsia="仿宋_GB2312" w:cs="Times New Roman"/>
                <w:kern w:val="0"/>
                <w:sz w:val="24"/>
                <w:szCs w:val="24"/>
              </w:rPr>
            </w:pPr>
          </w:p>
        </w:tc>
        <w:tc>
          <w:tcPr>
            <w:tcW w:w="2509" w:type="dxa"/>
            <w:vAlign w:val="center"/>
          </w:tcPr>
          <w:p>
            <w:pPr>
              <w:spacing w:line="360" w:lineRule="exact"/>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农村公路</w:t>
            </w:r>
          </w:p>
        </w:tc>
        <w:tc>
          <w:tcPr>
            <w:tcW w:w="1729" w:type="dxa"/>
            <w:vAlign w:val="center"/>
          </w:tcPr>
          <w:p>
            <w:pPr>
              <w:spacing w:line="360" w:lineRule="exact"/>
              <w:jc w:val="center"/>
              <w:rPr>
                <w:rFonts w:ascii="Times New Roman" w:hAnsi="Times New Roman" w:eastAsia="仿宋_GB2312" w:cs="仿宋"/>
                <w:color w:val="0D0D0D"/>
                <w:kern w:val="0"/>
                <w:sz w:val="24"/>
                <w:szCs w:val="24"/>
                <w:lang w:bidi="ar"/>
              </w:rPr>
            </w:pPr>
            <w:r>
              <w:rPr>
                <w:rFonts w:hint="eastAsia" w:ascii="Times New Roman" w:hAnsi="Times New Roman" w:eastAsia="仿宋_GB2312" w:cs="仿宋"/>
                <w:color w:val="0D0D0D"/>
                <w:kern w:val="0"/>
                <w:sz w:val="24"/>
                <w:szCs w:val="24"/>
                <w:lang w:bidi="ar"/>
              </w:rPr>
              <w:t>2</w:t>
            </w:r>
            <w:r>
              <w:rPr>
                <w:rFonts w:ascii="Times New Roman" w:hAnsi="Times New Roman" w:eastAsia="仿宋_GB2312" w:cs="仿宋"/>
                <w:color w:val="0D0D0D"/>
                <w:kern w:val="0"/>
                <w:sz w:val="24"/>
                <w:szCs w:val="24"/>
                <w:lang w:bidi="ar"/>
              </w:rPr>
              <w:t>053</w:t>
            </w:r>
            <w:r>
              <w:rPr>
                <w:rFonts w:hint="eastAsia" w:ascii="Times New Roman" w:hAnsi="Times New Roman" w:eastAsia="仿宋_GB2312" w:cs="仿宋"/>
                <w:color w:val="0D0D0D"/>
                <w:kern w:val="0"/>
                <w:sz w:val="24"/>
                <w:szCs w:val="24"/>
                <w:lang w:bidi="ar"/>
              </w:rPr>
              <w:t>公里</w:t>
            </w:r>
          </w:p>
        </w:tc>
        <w:tc>
          <w:tcPr>
            <w:tcW w:w="4513" w:type="dxa"/>
            <w:vMerge w:val="continue"/>
            <w:vAlign w:val="center"/>
          </w:tcPr>
          <w:p>
            <w:pPr>
              <w:spacing w:line="360" w:lineRule="exact"/>
              <w:rPr>
                <w:rFonts w:ascii="Times New Roman" w:hAnsi="Times New Roman" w:eastAsia="仿宋_GB2312" w:cs="仿宋"/>
                <w:color w:val="0D0D0D"/>
                <w:kern w:val="0"/>
                <w:sz w:val="24"/>
                <w:szCs w:val="24"/>
                <w:lang w:bidi="ar"/>
              </w:rPr>
            </w:pPr>
          </w:p>
        </w:tc>
        <w:tc>
          <w:tcPr>
            <w:tcW w:w="1806" w:type="dxa"/>
            <w:vMerge w:val="continue"/>
            <w:vAlign w:val="center"/>
          </w:tcPr>
          <w:p>
            <w:pPr>
              <w:spacing w:line="360" w:lineRule="exact"/>
              <w:rPr>
                <w:rFonts w:ascii="Times New Roman" w:hAnsi="Times New Roman" w:eastAsia="仿宋_GB2312" w:cs="Times New Roman"/>
                <w:kern w:val="0"/>
                <w:sz w:val="24"/>
                <w:szCs w:val="24"/>
              </w:rPr>
            </w:pPr>
          </w:p>
        </w:tc>
        <w:tc>
          <w:tcPr>
            <w:tcW w:w="1809" w:type="dxa"/>
            <w:vMerge w:val="continue"/>
            <w:vAlign w:val="center"/>
          </w:tcPr>
          <w:p>
            <w:pPr>
              <w:spacing w:line="360" w:lineRule="exact"/>
              <w:jc w:val="cente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091" w:type="dxa"/>
            <w:vMerge w:val="continue"/>
            <w:vAlign w:val="center"/>
          </w:tcPr>
          <w:p>
            <w:pPr>
              <w:jc w:val="center"/>
              <w:rPr>
                <w:rFonts w:ascii="Times New Roman" w:hAnsi="Times New Roman" w:eastAsia="仿宋_GB2312" w:cs="仿宋"/>
                <w:kern w:val="0"/>
                <w:sz w:val="24"/>
                <w:szCs w:val="24"/>
              </w:rPr>
            </w:pPr>
          </w:p>
        </w:tc>
        <w:tc>
          <w:tcPr>
            <w:tcW w:w="717" w:type="dxa"/>
            <w:vMerge w:val="continue"/>
            <w:vAlign w:val="center"/>
          </w:tcPr>
          <w:p>
            <w:pPr>
              <w:spacing w:line="360" w:lineRule="exact"/>
              <w:rPr>
                <w:rFonts w:ascii="Times New Roman" w:hAnsi="Times New Roman" w:eastAsia="仿宋_GB2312" w:cs="Times New Roman"/>
                <w:kern w:val="0"/>
                <w:sz w:val="24"/>
                <w:szCs w:val="24"/>
              </w:rPr>
            </w:pPr>
          </w:p>
        </w:tc>
        <w:tc>
          <w:tcPr>
            <w:tcW w:w="2509" w:type="dxa"/>
            <w:vAlign w:val="center"/>
          </w:tcPr>
          <w:p>
            <w:pPr>
              <w:spacing w:line="360" w:lineRule="exact"/>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桥梁</w:t>
            </w:r>
          </w:p>
        </w:tc>
        <w:tc>
          <w:tcPr>
            <w:tcW w:w="1729" w:type="dxa"/>
            <w:vAlign w:val="center"/>
          </w:tcPr>
          <w:p>
            <w:pPr>
              <w:spacing w:line="360" w:lineRule="exact"/>
              <w:jc w:val="center"/>
              <w:rPr>
                <w:rFonts w:ascii="Times New Roman" w:hAnsi="Times New Roman" w:eastAsia="仿宋_GB2312" w:cs="仿宋"/>
                <w:color w:val="0D0D0D"/>
                <w:kern w:val="0"/>
                <w:sz w:val="24"/>
                <w:szCs w:val="24"/>
                <w:lang w:bidi="ar"/>
              </w:rPr>
            </w:pPr>
            <w:r>
              <w:rPr>
                <w:rFonts w:hint="eastAsia" w:ascii="Times New Roman" w:hAnsi="Times New Roman" w:eastAsia="仿宋_GB2312" w:cs="仿宋"/>
                <w:color w:val="0D0D0D"/>
                <w:kern w:val="0"/>
                <w:sz w:val="24"/>
                <w:szCs w:val="24"/>
                <w:lang w:bidi="ar"/>
              </w:rPr>
              <w:t>2</w:t>
            </w:r>
            <w:r>
              <w:rPr>
                <w:rFonts w:ascii="Times New Roman" w:hAnsi="Times New Roman" w:eastAsia="仿宋_GB2312" w:cs="仿宋"/>
                <w:color w:val="0D0D0D"/>
                <w:kern w:val="0"/>
                <w:sz w:val="24"/>
                <w:szCs w:val="24"/>
                <w:lang w:bidi="ar"/>
              </w:rPr>
              <w:t>5</w:t>
            </w:r>
            <w:r>
              <w:rPr>
                <w:rFonts w:hint="eastAsia" w:ascii="Times New Roman" w:hAnsi="Times New Roman" w:eastAsia="仿宋_GB2312" w:cs="仿宋"/>
                <w:color w:val="0D0D0D"/>
                <w:kern w:val="0"/>
                <w:sz w:val="24"/>
                <w:szCs w:val="24"/>
                <w:lang w:bidi="ar"/>
              </w:rPr>
              <w:t>座</w:t>
            </w:r>
          </w:p>
        </w:tc>
        <w:tc>
          <w:tcPr>
            <w:tcW w:w="4513" w:type="dxa"/>
            <w:vMerge w:val="continue"/>
            <w:vAlign w:val="center"/>
          </w:tcPr>
          <w:p>
            <w:pPr>
              <w:spacing w:line="360" w:lineRule="exact"/>
              <w:rPr>
                <w:rFonts w:ascii="Times New Roman" w:hAnsi="Times New Roman" w:eastAsia="仿宋_GB2312" w:cs="仿宋"/>
                <w:color w:val="0D0D0D"/>
                <w:kern w:val="0"/>
                <w:sz w:val="24"/>
                <w:szCs w:val="24"/>
                <w:lang w:bidi="ar"/>
              </w:rPr>
            </w:pPr>
          </w:p>
        </w:tc>
        <w:tc>
          <w:tcPr>
            <w:tcW w:w="1806" w:type="dxa"/>
            <w:vMerge w:val="continue"/>
            <w:vAlign w:val="center"/>
          </w:tcPr>
          <w:p>
            <w:pPr>
              <w:spacing w:line="360" w:lineRule="exact"/>
              <w:rPr>
                <w:rFonts w:ascii="Times New Roman" w:hAnsi="Times New Roman" w:eastAsia="仿宋_GB2312" w:cs="Times New Roman"/>
                <w:kern w:val="0"/>
                <w:sz w:val="24"/>
                <w:szCs w:val="24"/>
              </w:rPr>
            </w:pPr>
          </w:p>
        </w:tc>
        <w:tc>
          <w:tcPr>
            <w:tcW w:w="1809" w:type="dxa"/>
            <w:vMerge w:val="continue"/>
            <w:vAlign w:val="center"/>
          </w:tcPr>
          <w:p>
            <w:pPr>
              <w:spacing w:line="360" w:lineRule="exact"/>
              <w:jc w:val="center"/>
              <w:rPr>
                <w:rFonts w:ascii="Times New Roman" w:hAnsi="Times New Roman"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91" w:type="dxa"/>
            <w:vMerge w:val="continue"/>
            <w:vAlign w:val="center"/>
          </w:tcPr>
          <w:p>
            <w:pPr>
              <w:jc w:val="center"/>
              <w:rPr>
                <w:rFonts w:ascii="Times New Roman" w:hAnsi="Times New Roman" w:eastAsia="仿宋_GB2312" w:cs="仿宋"/>
                <w:kern w:val="0"/>
                <w:sz w:val="24"/>
                <w:szCs w:val="24"/>
              </w:rPr>
            </w:pPr>
          </w:p>
        </w:tc>
        <w:tc>
          <w:tcPr>
            <w:tcW w:w="717" w:type="dxa"/>
            <w:vMerge w:val="continue"/>
            <w:vAlign w:val="center"/>
          </w:tcPr>
          <w:p>
            <w:pPr>
              <w:spacing w:line="360" w:lineRule="exact"/>
              <w:rPr>
                <w:rFonts w:ascii="Times New Roman" w:hAnsi="Times New Roman" w:eastAsia="仿宋_GB2312" w:cs="Times New Roman"/>
                <w:kern w:val="0"/>
                <w:sz w:val="24"/>
                <w:szCs w:val="24"/>
              </w:rPr>
            </w:pPr>
          </w:p>
        </w:tc>
        <w:tc>
          <w:tcPr>
            <w:tcW w:w="2509" w:type="dxa"/>
            <w:vAlign w:val="center"/>
          </w:tcPr>
          <w:p>
            <w:pPr>
              <w:spacing w:line="360" w:lineRule="exact"/>
              <w:jc w:val="center"/>
              <w:rPr>
                <w:rFonts w:ascii="Times New Roman" w:hAnsi="Times New Roman" w:eastAsia="仿宋_GB2312" w:cs="仿宋"/>
                <w:kern w:val="0"/>
                <w:sz w:val="24"/>
                <w:szCs w:val="24"/>
              </w:rPr>
            </w:pPr>
            <w:r>
              <w:rPr>
                <w:rFonts w:hint="eastAsia" w:ascii="Times New Roman" w:hAnsi="Times New Roman" w:eastAsia="仿宋_GB2312" w:cs="仿宋"/>
                <w:kern w:val="0"/>
                <w:sz w:val="24"/>
                <w:szCs w:val="24"/>
              </w:rPr>
              <w:t>隧道</w:t>
            </w:r>
          </w:p>
        </w:tc>
        <w:tc>
          <w:tcPr>
            <w:tcW w:w="1729" w:type="dxa"/>
            <w:vAlign w:val="center"/>
          </w:tcPr>
          <w:p>
            <w:pPr>
              <w:spacing w:line="360" w:lineRule="exact"/>
              <w:jc w:val="center"/>
              <w:rPr>
                <w:rFonts w:ascii="Times New Roman" w:hAnsi="Times New Roman" w:eastAsia="仿宋_GB2312" w:cs="仿宋"/>
                <w:color w:val="0D0D0D"/>
                <w:kern w:val="0"/>
                <w:sz w:val="24"/>
                <w:szCs w:val="24"/>
                <w:lang w:bidi="ar"/>
              </w:rPr>
            </w:pPr>
            <w:r>
              <w:rPr>
                <w:rFonts w:hint="eastAsia" w:ascii="Times New Roman" w:hAnsi="Times New Roman" w:eastAsia="仿宋_GB2312" w:cs="仿宋"/>
                <w:color w:val="0D0D0D"/>
                <w:kern w:val="0"/>
                <w:sz w:val="24"/>
                <w:szCs w:val="24"/>
                <w:lang w:bidi="ar"/>
              </w:rPr>
              <w:t>0</w:t>
            </w:r>
          </w:p>
        </w:tc>
        <w:tc>
          <w:tcPr>
            <w:tcW w:w="4513" w:type="dxa"/>
            <w:vMerge w:val="continue"/>
            <w:vAlign w:val="center"/>
          </w:tcPr>
          <w:p>
            <w:pPr>
              <w:spacing w:line="360" w:lineRule="exact"/>
              <w:rPr>
                <w:rFonts w:ascii="Times New Roman" w:hAnsi="Times New Roman" w:eastAsia="仿宋_GB2312" w:cs="仿宋"/>
                <w:color w:val="0D0D0D"/>
                <w:kern w:val="0"/>
                <w:sz w:val="24"/>
                <w:szCs w:val="24"/>
                <w:lang w:bidi="ar"/>
              </w:rPr>
            </w:pPr>
          </w:p>
        </w:tc>
        <w:tc>
          <w:tcPr>
            <w:tcW w:w="1806" w:type="dxa"/>
            <w:vMerge w:val="continue"/>
            <w:vAlign w:val="center"/>
          </w:tcPr>
          <w:p>
            <w:pPr>
              <w:spacing w:line="360" w:lineRule="exact"/>
              <w:rPr>
                <w:rFonts w:ascii="Times New Roman" w:hAnsi="Times New Roman" w:eastAsia="仿宋_GB2312" w:cs="Times New Roman"/>
                <w:kern w:val="0"/>
                <w:sz w:val="24"/>
                <w:szCs w:val="24"/>
              </w:rPr>
            </w:pPr>
          </w:p>
        </w:tc>
        <w:tc>
          <w:tcPr>
            <w:tcW w:w="1809" w:type="dxa"/>
            <w:vMerge w:val="continue"/>
            <w:vAlign w:val="center"/>
          </w:tcPr>
          <w:p>
            <w:pPr>
              <w:spacing w:line="360" w:lineRule="exact"/>
              <w:jc w:val="center"/>
              <w:rPr>
                <w:rFonts w:ascii="Times New Roman" w:hAnsi="Times New Roman" w:eastAsia="仿宋_GB2312" w:cs="仿宋"/>
                <w:kern w:val="0"/>
                <w:sz w:val="24"/>
                <w:szCs w:val="24"/>
              </w:rPr>
            </w:pPr>
          </w:p>
        </w:tc>
      </w:tr>
    </w:tbl>
    <w:p>
      <w:pPr>
        <w:spacing w:before="156" w:beforeLines="50"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注：</w:t>
      </w:r>
      <w:r>
        <w:rPr>
          <w:rFonts w:hint="default" w:ascii="Times New Roman" w:hAnsi="Times New Roman" w:eastAsia="仿宋_GB2312" w:cs="Times New Roman"/>
          <w:sz w:val="24"/>
          <w:szCs w:val="24"/>
        </w:rPr>
        <w:t>本附件参考《国务院第一次全国自然灾害综合风险普查领导小组办公室关于进一步做好普查地方试点工作的通知》（国灾险普办发〔2020〕４号）编制，若内容与国灾险普办发〔2020〕４号文有冲突的，以国灾险普办发〔2020〕４号为准。</w:t>
      </w:r>
    </w:p>
    <w:p>
      <w:pPr>
        <w:spacing w:before="156" w:beforeLines="50" w:line="360" w:lineRule="auto"/>
        <w:rPr>
          <w:rFonts w:ascii="Times New Roman" w:hAnsi="Times New Roman" w:eastAsia="仿宋_GB2312"/>
          <w:sz w:val="24"/>
          <w:szCs w:val="24"/>
        </w:rPr>
      </w:pPr>
    </w:p>
    <w:sectPr>
      <w:footerReference r:id="rId3" w:type="default"/>
      <w:footerReference r:id="rId4" w:type="even"/>
      <w:pgSz w:w="16838" w:h="11906" w:orient="landscape"/>
      <w:pgMar w:top="1803" w:right="1440" w:bottom="180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-19050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spacing w:val="-20"/>
                              <w:sz w:val="28"/>
                              <w:szCs w:val="28"/>
                              <w:lang w:eastAsia="zh-CN"/>
                            </w:rPr>
                            <w:t>—</w:t>
                          </w:r>
                          <w:r>
                            <w:rPr>
                              <w:rFonts w:hint="eastAsia" w:asciiTheme="minorEastAsia" w:hAnsiTheme="minorEastAsia" w:eastAsiaTheme="minorEastAsia" w:cstheme="minorEastAsia"/>
                              <w:spacing w:val="-20"/>
                              <w:sz w:val="28"/>
                              <w:szCs w:val="28"/>
                              <w:lang w:val="en-US" w:eastAsia="zh-CN"/>
                            </w:rPr>
                            <w:t xml:space="preserve"> </w:t>
                          </w:r>
                          <w:r>
                            <w:rPr>
                              <w:rFonts w:hint="eastAsia" w:asciiTheme="minorEastAsia" w:hAnsiTheme="minorEastAsia" w:eastAsiaTheme="minorEastAsia" w:cstheme="minorEastAsia"/>
                              <w:spacing w:val="-20"/>
                              <w:sz w:val="28"/>
                              <w:szCs w:val="28"/>
                              <w:lang w:eastAsia="zh-CN"/>
                            </w:rPr>
                            <w:fldChar w:fldCharType="begin"/>
                          </w:r>
                          <w:r>
                            <w:rPr>
                              <w:rFonts w:hint="eastAsia" w:asciiTheme="minorEastAsia" w:hAnsiTheme="minorEastAsia" w:eastAsiaTheme="minorEastAsia" w:cstheme="minorEastAsia"/>
                              <w:spacing w:val="-20"/>
                              <w:sz w:val="28"/>
                              <w:szCs w:val="28"/>
                              <w:lang w:eastAsia="zh-CN"/>
                            </w:rPr>
                            <w:instrText xml:space="preserve"> PAGE  \* MERGEFORMAT </w:instrText>
                          </w:r>
                          <w:r>
                            <w:rPr>
                              <w:rFonts w:hint="eastAsia" w:asciiTheme="minorEastAsia" w:hAnsiTheme="minorEastAsia" w:eastAsiaTheme="minorEastAsia" w:cstheme="minorEastAsia"/>
                              <w:spacing w:val="-20"/>
                              <w:sz w:val="28"/>
                              <w:szCs w:val="28"/>
                              <w:lang w:eastAsia="zh-CN"/>
                            </w:rPr>
                            <w:fldChar w:fldCharType="separate"/>
                          </w:r>
                          <w:r>
                            <w:rPr>
                              <w:rFonts w:hint="eastAsia" w:asciiTheme="minorEastAsia" w:hAnsiTheme="minorEastAsia" w:eastAsiaTheme="minorEastAsia" w:cstheme="minorEastAsia"/>
                              <w:spacing w:val="-20"/>
                              <w:sz w:val="28"/>
                              <w:szCs w:val="28"/>
                              <w:lang w:eastAsia="zh-CN"/>
                            </w:rPr>
                            <w:t>2</w:t>
                          </w:r>
                          <w:r>
                            <w:rPr>
                              <w:rFonts w:hint="eastAsia" w:asciiTheme="minorEastAsia" w:hAnsiTheme="minorEastAsia" w:eastAsiaTheme="minorEastAsia" w:cstheme="minorEastAsia"/>
                              <w:spacing w:val="-20"/>
                              <w:sz w:val="28"/>
                              <w:szCs w:val="28"/>
                              <w:lang w:eastAsia="zh-CN"/>
                            </w:rPr>
                            <w:fldChar w:fldCharType="end"/>
                          </w:r>
                          <w:r>
                            <w:rPr>
                              <w:rFonts w:hint="eastAsia" w:asciiTheme="minorEastAsia" w:hAnsiTheme="minorEastAsia" w:eastAsiaTheme="minorEastAsia" w:cstheme="minorEastAsia"/>
                              <w:spacing w:val="-20"/>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5pt;height:144pt;width:144pt;mso-position-horizontal-relative:margin;mso-wrap-style:none;z-index:251659264;mso-width-relative:page;mso-height-relative:page;" filled="f" stroked="f" coordsize="21600,21600" o:gfxdata="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U87wl9QAAAAHAQAADwAAAAAA&#10;AAABACAAAAAiAAAAZHJzL2Rvd25yZXYueG1sUEsBAhQAFAAAAAgAh07iQItJd0zCAgAA1gUAAA4A&#10;AAAAAAAAAQAgAAAAIwEAAGRycy9lMm9Eb2MueG1sUEsFBgAAAAAGAAYAWQEAAFc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spacing w:val="-20"/>
                        <w:sz w:val="28"/>
                        <w:szCs w:val="28"/>
                        <w:lang w:eastAsia="zh-CN"/>
                      </w:rPr>
                      <w:t>—</w:t>
                    </w:r>
                    <w:r>
                      <w:rPr>
                        <w:rFonts w:hint="eastAsia" w:asciiTheme="minorEastAsia" w:hAnsiTheme="minorEastAsia" w:eastAsiaTheme="minorEastAsia" w:cstheme="minorEastAsia"/>
                        <w:spacing w:val="-20"/>
                        <w:sz w:val="28"/>
                        <w:szCs w:val="28"/>
                        <w:lang w:val="en-US" w:eastAsia="zh-CN"/>
                      </w:rPr>
                      <w:t xml:space="preserve"> </w:t>
                    </w:r>
                    <w:r>
                      <w:rPr>
                        <w:rFonts w:hint="eastAsia" w:asciiTheme="minorEastAsia" w:hAnsiTheme="minorEastAsia" w:eastAsiaTheme="minorEastAsia" w:cstheme="minorEastAsia"/>
                        <w:spacing w:val="-20"/>
                        <w:sz w:val="28"/>
                        <w:szCs w:val="28"/>
                        <w:lang w:eastAsia="zh-CN"/>
                      </w:rPr>
                      <w:fldChar w:fldCharType="begin"/>
                    </w:r>
                    <w:r>
                      <w:rPr>
                        <w:rFonts w:hint="eastAsia" w:asciiTheme="minorEastAsia" w:hAnsiTheme="minorEastAsia" w:eastAsiaTheme="minorEastAsia" w:cstheme="minorEastAsia"/>
                        <w:spacing w:val="-20"/>
                        <w:sz w:val="28"/>
                        <w:szCs w:val="28"/>
                        <w:lang w:eastAsia="zh-CN"/>
                      </w:rPr>
                      <w:instrText xml:space="preserve"> PAGE  \* MERGEFORMAT </w:instrText>
                    </w:r>
                    <w:r>
                      <w:rPr>
                        <w:rFonts w:hint="eastAsia" w:asciiTheme="minorEastAsia" w:hAnsiTheme="minorEastAsia" w:eastAsiaTheme="minorEastAsia" w:cstheme="minorEastAsia"/>
                        <w:spacing w:val="-20"/>
                        <w:sz w:val="28"/>
                        <w:szCs w:val="28"/>
                        <w:lang w:eastAsia="zh-CN"/>
                      </w:rPr>
                      <w:fldChar w:fldCharType="separate"/>
                    </w:r>
                    <w:r>
                      <w:rPr>
                        <w:rFonts w:hint="eastAsia" w:asciiTheme="minorEastAsia" w:hAnsiTheme="minorEastAsia" w:eastAsiaTheme="minorEastAsia" w:cstheme="minorEastAsia"/>
                        <w:spacing w:val="-20"/>
                        <w:sz w:val="28"/>
                        <w:szCs w:val="28"/>
                        <w:lang w:eastAsia="zh-CN"/>
                      </w:rPr>
                      <w:t>2</w:t>
                    </w:r>
                    <w:r>
                      <w:rPr>
                        <w:rFonts w:hint="eastAsia" w:asciiTheme="minorEastAsia" w:hAnsiTheme="minorEastAsia" w:eastAsiaTheme="minorEastAsia" w:cstheme="minorEastAsia"/>
                        <w:spacing w:val="-20"/>
                        <w:sz w:val="28"/>
                        <w:szCs w:val="28"/>
                        <w:lang w:eastAsia="zh-CN"/>
                      </w:rPr>
                      <w:fldChar w:fldCharType="end"/>
                    </w:r>
                    <w:r>
                      <w:rPr>
                        <w:rFonts w:hint="eastAsia" w:asciiTheme="minorEastAsia" w:hAnsiTheme="minorEastAsia" w:eastAsiaTheme="minorEastAsia" w:cstheme="minorEastAsia"/>
                        <w:spacing w:val="-20"/>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53BC"/>
    <w:multiLevelType w:val="multilevel"/>
    <w:tmpl w:val="1E3053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FD6D89"/>
    <w:multiLevelType w:val="multilevel"/>
    <w:tmpl w:val="2AFD6D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60"/>
    <w:rsid w:val="0003501B"/>
    <w:rsid w:val="00052A02"/>
    <w:rsid w:val="0007155B"/>
    <w:rsid w:val="00090EAE"/>
    <w:rsid w:val="000931E6"/>
    <w:rsid w:val="00093DE4"/>
    <w:rsid w:val="00095B71"/>
    <w:rsid w:val="000D6F92"/>
    <w:rsid w:val="00112FA7"/>
    <w:rsid w:val="001272FF"/>
    <w:rsid w:val="00132BCF"/>
    <w:rsid w:val="00141BA5"/>
    <w:rsid w:val="001808AA"/>
    <w:rsid w:val="001C7126"/>
    <w:rsid w:val="001F0BDA"/>
    <w:rsid w:val="00211A07"/>
    <w:rsid w:val="00214939"/>
    <w:rsid w:val="00216490"/>
    <w:rsid w:val="00223F14"/>
    <w:rsid w:val="00227C4F"/>
    <w:rsid w:val="00235359"/>
    <w:rsid w:val="002579A1"/>
    <w:rsid w:val="00262BD4"/>
    <w:rsid w:val="00270A58"/>
    <w:rsid w:val="00271D7B"/>
    <w:rsid w:val="002768B9"/>
    <w:rsid w:val="002B3546"/>
    <w:rsid w:val="002D2490"/>
    <w:rsid w:val="002E11B8"/>
    <w:rsid w:val="003013C9"/>
    <w:rsid w:val="00323B7F"/>
    <w:rsid w:val="003305C9"/>
    <w:rsid w:val="0036116F"/>
    <w:rsid w:val="00386580"/>
    <w:rsid w:val="003F7477"/>
    <w:rsid w:val="00411FAD"/>
    <w:rsid w:val="00427489"/>
    <w:rsid w:val="004809F1"/>
    <w:rsid w:val="004A1D1F"/>
    <w:rsid w:val="004C39BF"/>
    <w:rsid w:val="004D7BE4"/>
    <w:rsid w:val="004E4061"/>
    <w:rsid w:val="004E7CBE"/>
    <w:rsid w:val="0050021A"/>
    <w:rsid w:val="005012B4"/>
    <w:rsid w:val="00515C52"/>
    <w:rsid w:val="0052414A"/>
    <w:rsid w:val="00565E5F"/>
    <w:rsid w:val="005664B5"/>
    <w:rsid w:val="005A2E37"/>
    <w:rsid w:val="005B3505"/>
    <w:rsid w:val="005C7B4B"/>
    <w:rsid w:val="005E51DF"/>
    <w:rsid w:val="00613B62"/>
    <w:rsid w:val="00617AC6"/>
    <w:rsid w:val="0062035B"/>
    <w:rsid w:val="0063620E"/>
    <w:rsid w:val="00640576"/>
    <w:rsid w:val="00647531"/>
    <w:rsid w:val="006733F9"/>
    <w:rsid w:val="00682B56"/>
    <w:rsid w:val="006C5D1A"/>
    <w:rsid w:val="006C6F2B"/>
    <w:rsid w:val="006C78DA"/>
    <w:rsid w:val="006C7D20"/>
    <w:rsid w:val="006E3006"/>
    <w:rsid w:val="006F2A44"/>
    <w:rsid w:val="007544D9"/>
    <w:rsid w:val="007726D7"/>
    <w:rsid w:val="00775C08"/>
    <w:rsid w:val="00776BF0"/>
    <w:rsid w:val="007A2EC5"/>
    <w:rsid w:val="007C0FC2"/>
    <w:rsid w:val="007C5A24"/>
    <w:rsid w:val="007D36B6"/>
    <w:rsid w:val="007E3A90"/>
    <w:rsid w:val="008547B8"/>
    <w:rsid w:val="00880B73"/>
    <w:rsid w:val="00894180"/>
    <w:rsid w:val="008B02B1"/>
    <w:rsid w:val="008B6CE0"/>
    <w:rsid w:val="008B7198"/>
    <w:rsid w:val="008C018F"/>
    <w:rsid w:val="009709F0"/>
    <w:rsid w:val="009916B3"/>
    <w:rsid w:val="009C7960"/>
    <w:rsid w:val="009E5B61"/>
    <w:rsid w:val="009E7768"/>
    <w:rsid w:val="009F597D"/>
    <w:rsid w:val="00A1578A"/>
    <w:rsid w:val="00A22036"/>
    <w:rsid w:val="00A25008"/>
    <w:rsid w:val="00A347DF"/>
    <w:rsid w:val="00A50987"/>
    <w:rsid w:val="00A53878"/>
    <w:rsid w:val="00A86876"/>
    <w:rsid w:val="00AA24DF"/>
    <w:rsid w:val="00AB1A23"/>
    <w:rsid w:val="00AC46D1"/>
    <w:rsid w:val="00AD35FF"/>
    <w:rsid w:val="00AD5DD7"/>
    <w:rsid w:val="00B7341B"/>
    <w:rsid w:val="00B87695"/>
    <w:rsid w:val="00BA6A1D"/>
    <w:rsid w:val="00BB0586"/>
    <w:rsid w:val="00C269BE"/>
    <w:rsid w:val="00C326F5"/>
    <w:rsid w:val="00C37BBC"/>
    <w:rsid w:val="00C54FF9"/>
    <w:rsid w:val="00C65CB0"/>
    <w:rsid w:val="00C86FFC"/>
    <w:rsid w:val="00C87FC5"/>
    <w:rsid w:val="00CA13F7"/>
    <w:rsid w:val="00CB3D7B"/>
    <w:rsid w:val="00CB47DC"/>
    <w:rsid w:val="00CB5EA4"/>
    <w:rsid w:val="00CD4804"/>
    <w:rsid w:val="00CE69D3"/>
    <w:rsid w:val="00D06578"/>
    <w:rsid w:val="00D16239"/>
    <w:rsid w:val="00D16A9B"/>
    <w:rsid w:val="00D2579C"/>
    <w:rsid w:val="00D67DF5"/>
    <w:rsid w:val="00DB70A9"/>
    <w:rsid w:val="00E071F4"/>
    <w:rsid w:val="00E13484"/>
    <w:rsid w:val="00E17133"/>
    <w:rsid w:val="00E32BA2"/>
    <w:rsid w:val="00E354B0"/>
    <w:rsid w:val="00E35D11"/>
    <w:rsid w:val="00E76C0F"/>
    <w:rsid w:val="00E860BA"/>
    <w:rsid w:val="00EB177C"/>
    <w:rsid w:val="00F02FA8"/>
    <w:rsid w:val="00F16D03"/>
    <w:rsid w:val="00F2547F"/>
    <w:rsid w:val="00F351EF"/>
    <w:rsid w:val="00F4591D"/>
    <w:rsid w:val="00F53BE7"/>
    <w:rsid w:val="00F65226"/>
    <w:rsid w:val="00FA18A4"/>
    <w:rsid w:val="00FA5EF7"/>
    <w:rsid w:val="00FE1683"/>
    <w:rsid w:val="00FE5C1F"/>
    <w:rsid w:val="00FF689A"/>
    <w:rsid w:val="00FF6A73"/>
    <w:rsid w:val="02D12D77"/>
    <w:rsid w:val="04442F37"/>
    <w:rsid w:val="05D74124"/>
    <w:rsid w:val="073A76D7"/>
    <w:rsid w:val="0BC04631"/>
    <w:rsid w:val="0D78456D"/>
    <w:rsid w:val="0ED13332"/>
    <w:rsid w:val="109003D0"/>
    <w:rsid w:val="13BF7052"/>
    <w:rsid w:val="18555ACF"/>
    <w:rsid w:val="18CB6CE4"/>
    <w:rsid w:val="201C072B"/>
    <w:rsid w:val="2B6E548B"/>
    <w:rsid w:val="2BCA1732"/>
    <w:rsid w:val="33D410D7"/>
    <w:rsid w:val="341B52BD"/>
    <w:rsid w:val="34676540"/>
    <w:rsid w:val="352A3C47"/>
    <w:rsid w:val="450A12DB"/>
    <w:rsid w:val="4E2C526C"/>
    <w:rsid w:val="50A21DF8"/>
    <w:rsid w:val="513C60CD"/>
    <w:rsid w:val="5FEE025E"/>
    <w:rsid w:val="641574D1"/>
    <w:rsid w:val="69754BF9"/>
    <w:rsid w:val="6A5C1630"/>
    <w:rsid w:val="6B5277F2"/>
    <w:rsid w:val="6FAC58A1"/>
    <w:rsid w:val="6FF627A7"/>
    <w:rsid w:val="71D9003B"/>
    <w:rsid w:val="742F28C9"/>
    <w:rsid w:val="7A0C622B"/>
    <w:rsid w:val="7B5A3CCF"/>
    <w:rsid w:val="7BB6709F"/>
    <w:rsid w:val="7EB364F8"/>
    <w:rsid w:val="7EDA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styleId="10">
    <w:name w:val="List Paragraph"/>
    <w:basedOn w:val="1"/>
    <w:qFormat/>
    <w:uiPriority w:val="34"/>
    <w:pPr>
      <w:ind w:firstLine="420" w:firstLineChars="200"/>
    </w:pPr>
  </w:style>
  <w:style w:type="table" w:customStyle="1" w:styleId="11">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Table Paragraph"/>
    <w:basedOn w:val="1"/>
    <w:qFormat/>
    <w:uiPriority w:val="1"/>
    <w:rPr>
      <w:rFonts w:ascii="宋体" w:hAnsi="宋体" w:eastAsia="宋体" w:cs="宋体"/>
      <w:szCs w:val="24"/>
      <w:lang w:val="zh-CN" w:bidi="zh-CN"/>
    </w:rPr>
  </w:style>
  <w:style w:type="table" w:customStyle="1" w:styleId="13">
    <w:name w:val="网格型2"/>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燕尾蝶上的恶魔</Company>
  <Pages>9</Pages>
  <Words>728</Words>
  <Characters>4150</Characters>
  <Lines>34</Lines>
  <Paragraphs>9</Paragraphs>
  <TotalTime>38</TotalTime>
  <ScaleCrop>false</ScaleCrop>
  <LinksUpToDate>false</LinksUpToDate>
  <CharactersWithSpaces>4869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2020-09-04T07:56:00Z</dcterms:created>
  <dc:creator>Dell</dc:creator>
  <cp:lastModifiedBy>蒋江</cp:lastModifiedBy>
  <dcterms:modified xsi:type="dcterms:W3CDTF">2020-09-17T09:18:59Z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