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rPr>
          <w:b/>
        </w:rPr>
      </w:pPr>
      <w:r>
        <w:rPr>
          <w:rFonts w:hint="eastAsia"/>
          <w:b/>
        </w:rPr>
        <w:t>附件：</w:t>
      </w:r>
    </w:p>
    <w:p>
      <w:pPr>
        <w:spacing w:line="360" w:lineRule="auto"/>
        <w:ind w:firstLine="640"/>
        <w:rPr>
          <w:rFonts w:ascii="仿宋" w:hAnsi="Times New Roman" w:cs="Times New Roman"/>
          <w:szCs w:val="24"/>
        </w:rPr>
      </w:pPr>
    </w:p>
    <w:p>
      <w:pPr>
        <w:spacing w:line="360" w:lineRule="auto"/>
        <w:ind w:firstLine="640"/>
        <w:rPr>
          <w:rFonts w:ascii="仿宋" w:hAnsi="Times New Roman" w:cs="Times New Roman"/>
          <w:szCs w:val="24"/>
        </w:rPr>
      </w:pPr>
    </w:p>
    <w:p>
      <w:pPr>
        <w:spacing w:line="360" w:lineRule="auto"/>
        <w:ind w:firstLine="640"/>
        <w:rPr>
          <w:rFonts w:ascii="仿宋" w:hAnsi="Times New Roman" w:cs="Times New Roman"/>
          <w:szCs w:val="24"/>
        </w:rPr>
      </w:pPr>
    </w:p>
    <w:p>
      <w:pPr>
        <w:spacing w:line="360" w:lineRule="auto"/>
        <w:ind w:firstLine="0" w:firstLineChars="0"/>
        <w:jc w:val="center"/>
        <w:rPr>
          <w:rFonts w:ascii="仿宋" w:hAnsi="Times New Roman" w:cs="Times New Roman"/>
          <w:b/>
          <w:sz w:val="44"/>
          <w:szCs w:val="44"/>
        </w:rPr>
      </w:pPr>
      <w:r>
        <w:rPr>
          <w:rFonts w:hint="eastAsia" w:ascii="仿宋" w:hAnsi="Times New Roman" w:cs="Times New Roman"/>
          <w:b/>
          <w:sz w:val="44"/>
          <w:szCs w:val="44"/>
        </w:rPr>
        <w:t>广西壮族自治区粮食和物资储备局</w:t>
      </w:r>
    </w:p>
    <w:p>
      <w:pPr>
        <w:spacing w:line="360" w:lineRule="auto"/>
        <w:ind w:firstLine="0" w:firstLineChars="0"/>
        <w:jc w:val="center"/>
        <w:rPr>
          <w:rFonts w:ascii="仿宋" w:hAnsi="Times New Roman" w:cs="Times New Roman"/>
          <w:b/>
          <w:sz w:val="44"/>
          <w:szCs w:val="44"/>
        </w:rPr>
      </w:pPr>
      <w:r>
        <w:rPr>
          <w:rFonts w:hint="eastAsia" w:ascii="仿宋" w:hAnsi="Times New Roman" w:cs="Times New Roman"/>
          <w:b/>
          <w:sz w:val="44"/>
          <w:szCs w:val="44"/>
        </w:rPr>
        <w:t>广西粮食信息综合监管平台信息系统</w:t>
      </w:r>
    </w:p>
    <w:p>
      <w:pPr>
        <w:spacing w:line="360" w:lineRule="auto"/>
        <w:ind w:left="0" w:leftChars="0" w:firstLine="0" w:firstLineChars="0"/>
        <w:jc w:val="center"/>
        <w:rPr>
          <w:rFonts w:ascii="仿宋" w:hAnsi="Times New Roman" w:cs="Times New Roman"/>
          <w:b/>
          <w:sz w:val="44"/>
          <w:szCs w:val="44"/>
        </w:rPr>
      </w:pPr>
      <w:r>
        <w:rPr>
          <w:rFonts w:hint="eastAsia" w:ascii="仿宋" w:hAnsi="Times New Roman" w:cs="Times New Roman"/>
          <w:b/>
          <w:sz w:val="44"/>
          <w:szCs w:val="44"/>
        </w:rPr>
        <w:t>安全等级保护预定级报告</w:t>
      </w:r>
    </w:p>
    <w:p>
      <w:pPr>
        <w:spacing w:line="360" w:lineRule="auto"/>
        <w:ind w:firstLine="640"/>
        <w:rPr>
          <w:rFonts w:ascii="仿宋" w:hAnsi="Times New Roman" w:cs="Times New Roman"/>
          <w:szCs w:val="24"/>
        </w:rPr>
      </w:pPr>
    </w:p>
    <w:p>
      <w:pPr>
        <w:spacing w:line="360" w:lineRule="auto"/>
        <w:ind w:firstLine="640"/>
        <w:rPr>
          <w:rFonts w:ascii="仿宋" w:hAnsi="Times New Roman" w:cs="Times New Roman"/>
          <w:szCs w:val="24"/>
        </w:rPr>
      </w:pPr>
    </w:p>
    <w:p>
      <w:pPr>
        <w:spacing w:line="360" w:lineRule="auto"/>
        <w:ind w:firstLine="640"/>
        <w:rPr>
          <w:rFonts w:ascii="仿宋" w:hAnsi="Times New Roman" w:cs="Times New Roman"/>
          <w:szCs w:val="24"/>
        </w:rPr>
      </w:pPr>
    </w:p>
    <w:p>
      <w:pPr>
        <w:spacing w:line="360" w:lineRule="auto"/>
        <w:ind w:firstLine="640"/>
        <w:rPr>
          <w:rFonts w:ascii="仿宋" w:hAnsi="Times New Roman" w:cs="Times New Roman"/>
          <w:szCs w:val="24"/>
        </w:rPr>
      </w:pPr>
    </w:p>
    <w:p>
      <w:pPr>
        <w:spacing w:line="360" w:lineRule="auto"/>
        <w:ind w:firstLine="640"/>
        <w:rPr>
          <w:rFonts w:ascii="仿宋" w:hAnsi="Times New Roman" w:cs="Times New Roman"/>
          <w:szCs w:val="24"/>
        </w:rPr>
      </w:pPr>
    </w:p>
    <w:p>
      <w:pPr>
        <w:tabs>
          <w:tab w:val="left" w:pos="5540"/>
          <w:tab w:val="left" w:pos="6260"/>
        </w:tabs>
        <w:autoSpaceDE w:val="0"/>
        <w:autoSpaceDN w:val="0"/>
        <w:adjustRightInd w:val="0"/>
        <w:spacing w:line="360" w:lineRule="auto"/>
        <w:ind w:right="-23" w:firstLine="0" w:firstLineChars="0"/>
        <w:jc w:val="center"/>
        <w:rPr>
          <w:rFonts w:ascii="仿宋" w:hAnsi="Times New Roman" w:cs="MingLiU"/>
          <w:w w:val="99"/>
          <w:kern w:val="0"/>
          <w:sz w:val="28"/>
          <w:szCs w:val="28"/>
        </w:rPr>
      </w:pPr>
      <w:r>
        <w:rPr>
          <w:rFonts w:hint="eastAsia" w:ascii="仿宋" w:hAnsi="Times New Roman" w:cs="MingLiU"/>
          <w:w w:val="99"/>
          <w:kern w:val="0"/>
          <w:sz w:val="28"/>
          <w:szCs w:val="28"/>
          <w:lang w:val="en-US" w:eastAsia="zh-CN"/>
        </w:rPr>
        <w:t xml:space="preserve">       </w:t>
      </w:r>
      <w:r>
        <w:rPr>
          <w:rFonts w:hint="eastAsia" w:ascii="仿宋" w:hAnsi="Times New Roman" w:cs="MingLiU"/>
          <w:w w:val="99"/>
          <w:kern w:val="0"/>
          <w:sz w:val="28"/>
          <w:szCs w:val="28"/>
        </w:rPr>
        <w:t>申</w:t>
      </w:r>
      <w:r>
        <w:rPr>
          <w:rFonts w:hint="eastAsia" w:ascii="仿宋" w:hAnsi="Times New Roman" w:cs="MingLiU"/>
          <w:spacing w:val="5"/>
          <w:w w:val="99"/>
          <w:kern w:val="0"/>
          <w:sz w:val="28"/>
          <w:szCs w:val="28"/>
        </w:rPr>
        <w:t>报</w:t>
      </w:r>
      <w:r>
        <w:rPr>
          <w:rFonts w:hint="eastAsia" w:ascii="仿宋" w:hAnsi="Times New Roman" w:cs="MingLiU"/>
          <w:w w:val="99"/>
          <w:kern w:val="0"/>
          <w:sz w:val="28"/>
          <w:szCs w:val="28"/>
        </w:rPr>
        <w:t>单位：</w:t>
      </w:r>
      <w:r>
        <w:rPr>
          <w:rFonts w:hint="eastAsia" w:ascii="仿宋" w:hAnsi="Times New Roman" w:cs="MingLiU"/>
          <w:w w:val="99"/>
          <w:kern w:val="0"/>
          <w:sz w:val="28"/>
          <w:szCs w:val="28"/>
          <w:u w:val="single"/>
        </w:rPr>
        <w:t>广西壮族自治区粮食和物资储备局</w:t>
      </w:r>
    </w:p>
    <w:p>
      <w:pPr>
        <w:tabs>
          <w:tab w:val="left" w:pos="8193"/>
        </w:tabs>
        <w:autoSpaceDE w:val="0"/>
        <w:autoSpaceDN w:val="0"/>
        <w:adjustRightInd w:val="0"/>
        <w:spacing w:line="360" w:lineRule="auto"/>
        <w:ind w:right="-23" w:firstLine="1939" w:firstLineChars="700"/>
        <w:jc w:val="both"/>
        <w:rPr>
          <w:rFonts w:ascii="仿宋" w:hAnsi="Times New Roman" w:cs="MingLiU"/>
          <w:w w:val="99"/>
          <w:kern w:val="0"/>
          <w:sz w:val="28"/>
          <w:szCs w:val="28"/>
          <w:u w:val="single"/>
        </w:rPr>
      </w:pPr>
      <w:r>
        <w:rPr>
          <w:rFonts w:hint="eastAsia" w:ascii="仿宋" w:hAnsi="Times New Roman" w:cs="MingLiU"/>
          <w:w w:val="99"/>
          <w:kern w:val="0"/>
          <w:sz w:val="28"/>
          <w:szCs w:val="28"/>
        </w:rPr>
        <w:t>申</w:t>
      </w:r>
      <w:r>
        <w:rPr>
          <w:rFonts w:hint="eastAsia" w:ascii="仿宋" w:hAnsi="Times New Roman" w:cs="MingLiU"/>
          <w:spacing w:val="5"/>
          <w:w w:val="99"/>
          <w:kern w:val="0"/>
          <w:sz w:val="28"/>
          <w:szCs w:val="28"/>
        </w:rPr>
        <w:t>报</w:t>
      </w:r>
      <w:r>
        <w:rPr>
          <w:rFonts w:hint="eastAsia" w:ascii="仿宋" w:hAnsi="Times New Roman" w:cs="MingLiU"/>
          <w:w w:val="99"/>
          <w:kern w:val="0"/>
          <w:sz w:val="28"/>
          <w:szCs w:val="28"/>
        </w:rPr>
        <w:t>日期：</w:t>
      </w:r>
      <w:r>
        <w:rPr>
          <w:rFonts w:hint="eastAsia" w:ascii="仿宋" w:hAnsi="Times New Roman" w:cs="MingLiU"/>
          <w:w w:val="99"/>
          <w:kern w:val="0"/>
          <w:sz w:val="28"/>
          <w:szCs w:val="28"/>
          <w:u w:val="single"/>
        </w:rPr>
        <w:t xml:space="preserve">  2019年11月18日</w:t>
      </w:r>
    </w:p>
    <w:p>
      <w:pPr>
        <w:tabs>
          <w:tab w:val="left" w:pos="6933"/>
          <w:tab w:val="left" w:pos="7023"/>
        </w:tabs>
        <w:autoSpaceDE w:val="0"/>
        <w:autoSpaceDN w:val="0"/>
        <w:adjustRightInd w:val="0"/>
        <w:spacing w:line="360" w:lineRule="auto"/>
        <w:ind w:right="-23" w:firstLine="1939" w:firstLineChars="700"/>
        <w:jc w:val="both"/>
        <w:rPr>
          <w:rFonts w:ascii="仿宋" w:hAnsi="Times New Roman" w:cs="MingLiU"/>
          <w:w w:val="99"/>
          <w:kern w:val="0"/>
          <w:sz w:val="28"/>
          <w:szCs w:val="28"/>
          <w:u w:val="single"/>
        </w:rPr>
      </w:pPr>
      <w:r>
        <w:rPr>
          <w:rFonts w:hint="eastAsia" w:ascii="仿宋" w:hAnsi="Times New Roman" w:cs="MingLiU"/>
          <w:w w:val="99"/>
          <w:kern w:val="0"/>
          <w:sz w:val="28"/>
          <w:szCs w:val="28"/>
        </w:rPr>
        <w:t>联 系 人：</w:t>
      </w:r>
      <w:r>
        <w:rPr>
          <w:rFonts w:hint="eastAsia" w:ascii="仿宋" w:hAnsi="Times New Roman" w:cs="MingLiU"/>
          <w:w w:val="99"/>
          <w:kern w:val="0"/>
          <w:sz w:val="28"/>
          <w:szCs w:val="28"/>
          <w:u w:val="single"/>
        </w:rPr>
        <w:t xml:space="preserve">   </w:t>
      </w:r>
      <w:r>
        <w:rPr>
          <w:rFonts w:hint="eastAsia" w:ascii="仿宋" w:hAnsi="Times New Roman" w:cs="MingLiU"/>
          <w:w w:val="99"/>
          <w:kern w:val="0"/>
          <w:sz w:val="28"/>
          <w:szCs w:val="28"/>
          <w:u w:val="single"/>
          <w:lang w:eastAsia="zh-CN"/>
        </w:rPr>
        <w:t>宁封齐</w:t>
      </w:r>
    </w:p>
    <w:p>
      <w:pPr>
        <w:tabs>
          <w:tab w:val="left" w:pos="8193"/>
        </w:tabs>
        <w:autoSpaceDE w:val="0"/>
        <w:autoSpaceDN w:val="0"/>
        <w:adjustRightInd w:val="0"/>
        <w:spacing w:line="360" w:lineRule="auto"/>
        <w:ind w:right="-23" w:firstLine="1939" w:firstLineChars="700"/>
        <w:jc w:val="both"/>
        <w:rPr>
          <w:rFonts w:ascii="仿宋" w:hAnsi="Times New Roman" w:cs="MingLiU"/>
          <w:kern w:val="0"/>
          <w:sz w:val="28"/>
          <w:szCs w:val="28"/>
        </w:rPr>
      </w:pPr>
      <w:r>
        <w:rPr>
          <w:rFonts w:hint="eastAsia" w:ascii="仿宋" w:hAnsi="Times New Roman" w:cs="MingLiU"/>
          <w:w w:val="99"/>
          <w:kern w:val="0"/>
          <w:sz w:val="28"/>
          <w:szCs w:val="28"/>
        </w:rPr>
        <w:t>联</w:t>
      </w:r>
      <w:r>
        <w:rPr>
          <w:rFonts w:hint="eastAsia" w:ascii="仿宋" w:hAnsi="Times New Roman" w:cs="MingLiU"/>
          <w:spacing w:val="5"/>
          <w:w w:val="99"/>
          <w:kern w:val="0"/>
          <w:sz w:val="28"/>
          <w:szCs w:val="28"/>
        </w:rPr>
        <w:t>系</w:t>
      </w:r>
      <w:r>
        <w:rPr>
          <w:rFonts w:hint="eastAsia" w:ascii="仿宋" w:hAnsi="Times New Roman" w:cs="MingLiU"/>
          <w:w w:val="99"/>
          <w:kern w:val="0"/>
          <w:sz w:val="28"/>
          <w:szCs w:val="28"/>
        </w:rPr>
        <w:t>电话：</w:t>
      </w:r>
      <w:r>
        <w:rPr>
          <w:rFonts w:hint="eastAsia" w:ascii="仿宋" w:hAnsi="Times New Roman" w:cs="MingLiU"/>
          <w:w w:val="99"/>
          <w:kern w:val="0"/>
          <w:sz w:val="28"/>
          <w:szCs w:val="28"/>
          <w:u w:val="single"/>
        </w:rPr>
        <w:t xml:space="preserve">   0771-56</w:t>
      </w:r>
      <w:r>
        <w:rPr>
          <w:rFonts w:hint="eastAsia" w:ascii="仿宋" w:hAnsi="Times New Roman" w:cs="MingLiU"/>
          <w:w w:val="99"/>
          <w:kern w:val="0"/>
          <w:sz w:val="28"/>
          <w:szCs w:val="28"/>
          <w:u w:val="single"/>
          <w:lang w:val="en-US" w:eastAsia="zh-CN"/>
        </w:rPr>
        <w:t>12669</w:t>
      </w:r>
    </w:p>
    <w:p>
      <w:pPr>
        <w:tabs>
          <w:tab w:val="left" w:pos="8193"/>
        </w:tabs>
        <w:autoSpaceDE w:val="0"/>
        <w:autoSpaceDN w:val="0"/>
        <w:adjustRightInd w:val="0"/>
        <w:spacing w:line="360" w:lineRule="auto"/>
        <w:ind w:left="0" w:leftChars="0" w:right="-23" w:firstLine="1939" w:firstLineChars="700"/>
        <w:jc w:val="both"/>
        <w:rPr>
          <w:rFonts w:ascii="仿宋" w:hAnsi="Times New Roman" w:cs="MingLiU"/>
          <w:w w:val="99"/>
          <w:kern w:val="0"/>
          <w:sz w:val="28"/>
          <w:szCs w:val="28"/>
          <w:u w:val="single"/>
        </w:rPr>
      </w:pPr>
      <w:r>
        <w:rPr>
          <w:rFonts w:hint="eastAsia" w:ascii="仿宋" w:hAnsi="Times New Roman" w:cs="MingLiU"/>
          <w:w w:val="99"/>
          <w:kern w:val="0"/>
          <w:sz w:val="28"/>
          <w:szCs w:val="28"/>
        </w:rPr>
        <w:t>手机号码：</w:t>
      </w:r>
      <w:r>
        <w:rPr>
          <w:rFonts w:hint="eastAsia" w:ascii="仿宋" w:hAnsi="Times New Roman" w:cs="MingLiU"/>
          <w:w w:val="99"/>
          <w:kern w:val="0"/>
          <w:sz w:val="28"/>
          <w:szCs w:val="28"/>
          <w:u w:val="single"/>
        </w:rPr>
        <w:t xml:space="preserve">   </w:t>
      </w:r>
      <w:r>
        <w:rPr>
          <w:rFonts w:hint="eastAsia" w:ascii="仿宋" w:hAnsi="Times New Roman" w:cs="MingLiU"/>
          <w:w w:val="99"/>
          <w:kern w:val="0"/>
          <w:sz w:val="28"/>
          <w:szCs w:val="28"/>
          <w:u w:val="single"/>
          <w:lang w:val="en-US" w:eastAsia="zh-CN"/>
        </w:rPr>
        <w:t>18078185861</w:t>
      </w:r>
    </w:p>
    <w:p>
      <w:pPr>
        <w:autoSpaceDE w:val="0"/>
        <w:autoSpaceDN w:val="0"/>
        <w:adjustRightInd w:val="0"/>
        <w:spacing w:line="360" w:lineRule="auto"/>
        <w:ind w:firstLine="560"/>
        <w:jc w:val="left"/>
        <w:rPr>
          <w:rFonts w:ascii="仿宋" w:hAnsi="Times New Roman" w:cs="MingLiU"/>
          <w:kern w:val="0"/>
          <w:sz w:val="28"/>
          <w:szCs w:val="28"/>
        </w:rPr>
      </w:pPr>
    </w:p>
    <w:p>
      <w:pPr>
        <w:autoSpaceDE w:val="0"/>
        <w:autoSpaceDN w:val="0"/>
        <w:adjustRightInd w:val="0"/>
        <w:spacing w:line="360" w:lineRule="auto"/>
        <w:ind w:firstLine="560"/>
        <w:jc w:val="left"/>
        <w:rPr>
          <w:rFonts w:ascii="仿宋" w:hAnsi="Times New Roman" w:cs="MingLiU"/>
          <w:kern w:val="0"/>
          <w:sz w:val="28"/>
          <w:szCs w:val="28"/>
        </w:rPr>
      </w:pPr>
    </w:p>
    <w:p>
      <w:pPr>
        <w:autoSpaceDE w:val="0"/>
        <w:autoSpaceDN w:val="0"/>
        <w:adjustRightInd w:val="0"/>
        <w:spacing w:line="360" w:lineRule="auto"/>
        <w:ind w:firstLine="560"/>
        <w:jc w:val="left"/>
        <w:rPr>
          <w:rFonts w:ascii="仿宋" w:hAnsi="Times New Roman" w:cs="MingLiU"/>
          <w:kern w:val="0"/>
          <w:sz w:val="28"/>
          <w:szCs w:val="28"/>
        </w:rPr>
      </w:pPr>
    </w:p>
    <w:p>
      <w:pPr>
        <w:tabs>
          <w:tab w:val="left" w:pos="8193"/>
        </w:tabs>
        <w:autoSpaceDE w:val="0"/>
        <w:autoSpaceDN w:val="0"/>
        <w:adjustRightInd w:val="0"/>
        <w:spacing w:line="360" w:lineRule="auto"/>
        <w:ind w:right="-20" w:firstLine="2216" w:firstLineChars="800"/>
        <w:jc w:val="both"/>
        <w:rPr>
          <w:rFonts w:ascii="仿宋" w:hAnsi="Times New Roman" w:cs="MingLiU"/>
          <w:w w:val="99"/>
          <w:kern w:val="0"/>
          <w:sz w:val="28"/>
          <w:szCs w:val="28"/>
        </w:rPr>
      </w:pPr>
      <w:bookmarkStart w:id="19" w:name="_GoBack"/>
      <w:bookmarkEnd w:id="19"/>
      <w:r>
        <w:rPr>
          <w:rFonts w:hint="eastAsia" w:ascii="仿宋" w:hAnsi="Times New Roman" w:cs="MingLiU"/>
          <w:w w:val="99"/>
          <w:kern w:val="0"/>
          <w:sz w:val="28"/>
          <w:szCs w:val="28"/>
        </w:rPr>
        <w:t>二Ｏ一九年十一月十八日</w:t>
      </w:r>
    </w:p>
    <w:p>
      <w:pPr>
        <w:tabs>
          <w:tab w:val="left" w:pos="8193"/>
        </w:tabs>
        <w:autoSpaceDE w:val="0"/>
        <w:autoSpaceDN w:val="0"/>
        <w:adjustRightInd w:val="0"/>
        <w:spacing w:line="360" w:lineRule="auto"/>
        <w:ind w:right="-20" w:firstLine="551"/>
        <w:jc w:val="center"/>
        <w:rPr>
          <w:rFonts w:ascii="仿宋" w:hAnsi="Times New Roman" w:cs="MingLiU"/>
          <w:w w:val="99"/>
          <w:kern w:val="0"/>
          <w:sz w:val="28"/>
          <w:szCs w:val="28"/>
        </w:rPr>
      </w:pPr>
    </w:p>
    <w:p>
      <w:pPr>
        <w:spacing w:line="360" w:lineRule="auto"/>
        <w:ind w:firstLine="643"/>
        <w:jc w:val="center"/>
        <w:rPr>
          <w:rFonts w:hint="eastAsia" w:ascii="仿宋" w:hAnsi="Times New Roman" w:cs="Times New Roman"/>
          <w:b/>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851" w:footer="992" w:gutter="0"/>
          <w:cols w:space="720" w:num="1"/>
          <w:docGrid w:type="lines" w:linePitch="312" w:charSpace="0"/>
        </w:sectPr>
      </w:pPr>
    </w:p>
    <w:p>
      <w:pPr>
        <w:spacing w:line="360" w:lineRule="auto"/>
        <w:ind w:firstLine="643"/>
        <w:jc w:val="center"/>
        <w:rPr>
          <w:rFonts w:ascii="仿宋" w:hAnsi="Times New Roman" w:cs="Times New Roman"/>
          <w:b/>
          <w:szCs w:val="32"/>
        </w:rPr>
      </w:pPr>
      <w:r>
        <w:rPr>
          <w:rFonts w:hint="eastAsia" w:ascii="仿宋" w:hAnsi="Times New Roman" w:cs="Times New Roman"/>
          <w:b/>
          <w:szCs w:val="32"/>
        </w:rPr>
        <w:t>目  录</w:t>
      </w:r>
    </w:p>
    <w:p>
      <w:pPr>
        <w:spacing w:line="360" w:lineRule="auto"/>
        <w:ind w:firstLine="643"/>
        <w:jc w:val="center"/>
        <w:rPr>
          <w:rFonts w:ascii="仿宋" w:hAnsi="Times New Roman" w:cs="Times New Roman"/>
          <w:b/>
          <w:szCs w:val="32"/>
        </w:rPr>
      </w:pPr>
    </w:p>
    <w:p>
      <w:pPr>
        <w:pStyle w:val="8"/>
        <w:tabs>
          <w:tab w:val="right" w:leader="dot" w:pos="8312"/>
        </w:tabs>
      </w:pPr>
      <w:r>
        <w:rPr>
          <w:rFonts w:hint="eastAsia" w:ascii="仿宋" w:hAnsi="Times New Roman" w:cs="Times New Roman"/>
          <w:sz w:val="28"/>
          <w:szCs w:val="28"/>
        </w:rPr>
        <w:fldChar w:fldCharType="begin"/>
      </w:r>
      <w:r>
        <w:rPr>
          <w:rFonts w:hint="eastAsia" w:ascii="仿宋" w:hAnsi="Times New Roman" w:cs="Times New Roman"/>
          <w:sz w:val="28"/>
          <w:szCs w:val="28"/>
        </w:rPr>
        <w:instrText xml:space="preserve"> TOC \o "1-3" \h \z \u </w:instrText>
      </w:r>
      <w:r>
        <w:rPr>
          <w:rFonts w:hint="eastAsia" w:ascii="仿宋" w:hAnsi="Times New Roman" w:cs="Times New Roman"/>
          <w:sz w:val="28"/>
          <w:szCs w:val="28"/>
        </w:rPr>
        <w:fldChar w:fldCharType="separate"/>
      </w:r>
      <w:r>
        <w:rPr>
          <w:rFonts w:hint="eastAsia" w:ascii="仿宋" w:hAnsi="Times New Roman" w:cs="Times New Roman"/>
          <w:szCs w:val="28"/>
        </w:rPr>
        <w:fldChar w:fldCharType="begin"/>
      </w:r>
      <w:r>
        <w:rPr>
          <w:rFonts w:hint="eastAsia" w:ascii="仿宋" w:hAnsi="Times New Roman" w:cs="Times New Roman"/>
          <w:szCs w:val="28"/>
        </w:rPr>
        <w:instrText xml:space="preserve"> HYPERLINK \l _Toc30111 </w:instrText>
      </w:r>
      <w:r>
        <w:rPr>
          <w:rFonts w:hint="eastAsia" w:ascii="仿宋" w:hAnsi="Times New Roman" w:cs="Times New Roman"/>
          <w:szCs w:val="28"/>
        </w:rPr>
        <w:fldChar w:fldCharType="separate"/>
      </w:r>
      <w:r>
        <w:rPr>
          <w:rFonts w:hint="eastAsia"/>
          <w:bCs/>
        </w:rPr>
        <w:t>１、信息系统预定级情况汇总表</w:t>
      </w:r>
      <w:r>
        <w:tab/>
      </w:r>
      <w:r>
        <w:fldChar w:fldCharType="begin"/>
      </w:r>
      <w:r>
        <w:instrText xml:space="preserve"> PAGEREF _Toc30111 </w:instrText>
      </w:r>
      <w:r>
        <w:fldChar w:fldCharType="separate"/>
      </w:r>
      <w:r>
        <w:t>3</w:t>
      </w:r>
      <w:r>
        <w:fldChar w:fldCharType="end"/>
      </w:r>
      <w:r>
        <w:rPr>
          <w:rFonts w:hint="eastAsia" w:ascii="仿宋" w:hAnsi="Times New Roman" w:cs="Times New Roman"/>
          <w:szCs w:val="28"/>
        </w:rPr>
        <w:fldChar w:fldCharType="end"/>
      </w:r>
    </w:p>
    <w:p>
      <w:pPr>
        <w:pStyle w:val="8"/>
        <w:tabs>
          <w:tab w:val="right" w:leader="dot" w:pos="8312"/>
        </w:tabs>
      </w:pPr>
      <w:r>
        <w:rPr>
          <w:rFonts w:hint="eastAsia" w:ascii="仿宋" w:hAnsi="Times New Roman" w:cs="Times New Roman"/>
          <w:szCs w:val="28"/>
        </w:rPr>
        <w:fldChar w:fldCharType="begin"/>
      </w:r>
      <w:r>
        <w:rPr>
          <w:rFonts w:hint="eastAsia" w:ascii="仿宋" w:hAnsi="Times New Roman" w:cs="Times New Roman"/>
          <w:szCs w:val="28"/>
        </w:rPr>
        <w:instrText xml:space="preserve"> HYPERLINK \l _Toc29492 </w:instrText>
      </w:r>
      <w:r>
        <w:rPr>
          <w:rFonts w:hint="eastAsia" w:ascii="仿宋" w:hAnsi="Times New Roman" w:cs="Times New Roman"/>
          <w:szCs w:val="28"/>
        </w:rPr>
        <w:fldChar w:fldCharType="separate"/>
      </w:r>
      <w:r>
        <w:rPr>
          <w:rFonts w:hint="eastAsia"/>
        </w:rPr>
        <w:t>２、信息系统建设（设计）方案</w:t>
      </w:r>
      <w:r>
        <w:tab/>
      </w:r>
      <w:r>
        <w:fldChar w:fldCharType="begin"/>
      </w:r>
      <w:r>
        <w:instrText xml:space="preserve"> PAGEREF _Toc29492 </w:instrText>
      </w:r>
      <w:r>
        <w:fldChar w:fldCharType="separate"/>
      </w:r>
      <w:r>
        <w:t>3</w:t>
      </w:r>
      <w:r>
        <w:fldChar w:fldCharType="end"/>
      </w:r>
      <w:r>
        <w:rPr>
          <w:rFonts w:hint="eastAsia" w:ascii="仿宋" w:hAnsi="Times New Roman" w:cs="Times New Roman"/>
          <w:szCs w:val="28"/>
        </w:rPr>
        <w:fldChar w:fldCharType="end"/>
      </w:r>
    </w:p>
    <w:p>
      <w:pPr>
        <w:pStyle w:val="9"/>
        <w:tabs>
          <w:tab w:val="right" w:leader="dot" w:pos="8312"/>
        </w:tabs>
      </w:pPr>
      <w:r>
        <w:rPr>
          <w:rFonts w:hint="eastAsia" w:ascii="仿宋" w:hAnsi="Times New Roman" w:cs="Times New Roman"/>
          <w:szCs w:val="28"/>
        </w:rPr>
        <w:fldChar w:fldCharType="begin"/>
      </w:r>
      <w:r>
        <w:rPr>
          <w:rFonts w:hint="eastAsia" w:ascii="仿宋" w:hAnsi="Times New Roman" w:cs="Times New Roman"/>
          <w:szCs w:val="28"/>
        </w:rPr>
        <w:instrText xml:space="preserve"> HYPERLINK \l _Toc23660 </w:instrText>
      </w:r>
      <w:r>
        <w:rPr>
          <w:rFonts w:hint="eastAsia" w:ascii="仿宋" w:hAnsi="Times New Roman" w:cs="Times New Roman"/>
          <w:szCs w:val="28"/>
        </w:rPr>
        <w:fldChar w:fldCharType="separate"/>
      </w:r>
      <w:r>
        <w:rPr>
          <w:rFonts w:hint="eastAsia"/>
        </w:rPr>
        <w:t>2.1  项目建设单位基本情况</w:t>
      </w:r>
      <w:r>
        <w:tab/>
      </w:r>
      <w:r>
        <w:fldChar w:fldCharType="begin"/>
      </w:r>
      <w:r>
        <w:instrText xml:space="preserve"> PAGEREF _Toc23660 </w:instrText>
      </w:r>
      <w:r>
        <w:fldChar w:fldCharType="separate"/>
      </w:r>
      <w:r>
        <w:t>3</w:t>
      </w:r>
      <w:r>
        <w:fldChar w:fldCharType="end"/>
      </w:r>
      <w:r>
        <w:rPr>
          <w:rFonts w:hint="eastAsia" w:ascii="仿宋" w:hAnsi="Times New Roman" w:cs="Times New Roman"/>
          <w:szCs w:val="28"/>
        </w:rPr>
        <w:fldChar w:fldCharType="end"/>
      </w:r>
    </w:p>
    <w:p>
      <w:pPr>
        <w:pStyle w:val="5"/>
        <w:tabs>
          <w:tab w:val="right" w:leader="dot" w:pos="8312"/>
        </w:tabs>
      </w:pPr>
      <w:r>
        <w:rPr>
          <w:rFonts w:hint="eastAsia" w:ascii="仿宋" w:hAnsi="Times New Roman" w:cs="Times New Roman"/>
          <w:szCs w:val="28"/>
        </w:rPr>
        <w:fldChar w:fldCharType="begin"/>
      </w:r>
      <w:r>
        <w:rPr>
          <w:rFonts w:hint="eastAsia" w:ascii="仿宋" w:hAnsi="Times New Roman" w:cs="Times New Roman"/>
          <w:szCs w:val="28"/>
        </w:rPr>
        <w:instrText xml:space="preserve"> HYPERLINK \l _Toc22602 </w:instrText>
      </w:r>
      <w:r>
        <w:rPr>
          <w:rFonts w:hint="eastAsia" w:ascii="仿宋" w:hAnsi="Times New Roman" w:cs="Times New Roman"/>
          <w:szCs w:val="28"/>
        </w:rPr>
        <w:fldChar w:fldCharType="separate"/>
      </w:r>
      <w:r>
        <w:rPr>
          <w:rFonts w:hint="eastAsia"/>
        </w:rPr>
        <w:t>2.1.1项目建设单位</w:t>
      </w:r>
      <w:r>
        <w:tab/>
      </w:r>
      <w:r>
        <w:fldChar w:fldCharType="begin"/>
      </w:r>
      <w:r>
        <w:instrText xml:space="preserve"> PAGEREF _Toc22602 </w:instrText>
      </w:r>
      <w:r>
        <w:fldChar w:fldCharType="separate"/>
      </w:r>
      <w:r>
        <w:t>3</w:t>
      </w:r>
      <w:r>
        <w:fldChar w:fldCharType="end"/>
      </w:r>
      <w:r>
        <w:rPr>
          <w:rFonts w:hint="eastAsia" w:ascii="仿宋" w:hAnsi="Times New Roman" w:cs="Times New Roman"/>
          <w:szCs w:val="28"/>
        </w:rPr>
        <w:fldChar w:fldCharType="end"/>
      </w:r>
    </w:p>
    <w:p>
      <w:pPr>
        <w:pStyle w:val="5"/>
        <w:tabs>
          <w:tab w:val="right" w:leader="dot" w:pos="8312"/>
        </w:tabs>
      </w:pPr>
      <w:r>
        <w:rPr>
          <w:rFonts w:hint="eastAsia" w:ascii="仿宋" w:hAnsi="Times New Roman" w:cs="Times New Roman"/>
          <w:szCs w:val="28"/>
        </w:rPr>
        <w:fldChar w:fldCharType="begin"/>
      </w:r>
      <w:r>
        <w:rPr>
          <w:rFonts w:hint="eastAsia" w:ascii="仿宋" w:hAnsi="Times New Roman" w:cs="Times New Roman"/>
          <w:szCs w:val="28"/>
        </w:rPr>
        <w:instrText xml:space="preserve"> HYPERLINK \l _Toc26061 </w:instrText>
      </w:r>
      <w:r>
        <w:rPr>
          <w:rFonts w:hint="eastAsia" w:ascii="仿宋" w:hAnsi="Times New Roman" w:cs="Times New Roman"/>
          <w:szCs w:val="28"/>
        </w:rPr>
        <w:fldChar w:fldCharType="separate"/>
      </w:r>
      <w:r>
        <w:rPr>
          <w:rFonts w:hint="eastAsia"/>
        </w:rPr>
        <w:t>2.1.2项目建设单位职能</w:t>
      </w:r>
      <w:r>
        <w:tab/>
      </w:r>
      <w:r>
        <w:fldChar w:fldCharType="begin"/>
      </w:r>
      <w:r>
        <w:instrText xml:space="preserve"> PAGEREF _Toc26061 </w:instrText>
      </w:r>
      <w:r>
        <w:fldChar w:fldCharType="separate"/>
      </w:r>
      <w:r>
        <w:t>3</w:t>
      </w:r>
      <w:r>
        <w:fldChar w:fldCharType="end"/>
      </w:r>
      <w:r>
        <w:rPr>
          <w:rFonts w:hint="eastAsia" w:ascii="仿宋" w:hAnsi="Times New Roman" w:cs="Times New Roman"/>
          <w:szCs w:val="28"/>
        </w:rPr>
        <w:fldChar w:fldCharType="end"/>
      </w:r>
    </w:p>
    <w:p>
      <w:pPr>
        <w:pStyle w:val="9"/>
        <w:tabs>
          <w:tab w:val="right" w:leader="dot" w:pos="8312"/>
        </w:tabs>
      </w:pPr>
      <w:r>
        <w:rPr>
          <w:rFonts w:hint="eastAsia" w:ascii="仿宋" w:hAnsi="Times New Roman" w:cs="Times New Roman"/>
          <w:szCs w:val="28"/>
        </w:rPr>
        <w:fldChar w:fldCharType="begin"/>
      </w:r>
      <w:r>
        <w:rPr>
          <w:rFonts w:hint="eastAsia" w:ascii="仿宋" w:hAnsi="Times New Roman" w:cs="Times New Roman"/>
          <w:szCs w:val="28"/>
        </w:rPr>
        <w:instrText xml:space="preserve"> HYPERLINK \l _Toc733 </w:instrText>
      </w:r>
      <w:r>
        <w:rPr>
          <w:rFonts w:hint="eastAsia" w:ascii="仿宋" w:hAnsi="Times New Roman" w:cs="Times New Roman"/>
          <w:szCs w:val="28"/>
        </w:rPr>
        <w:fldChar w:fldCharType="separate"/>
      </w:r>
      <w:r>
        <w:rPr>
          <w:rFonts w:hint="eastAsia"/>
        </w:rPr>
        <w:t>2.2建设目标、规模与内容</w:t>
      </w:r>
      <w:r>
        <w:tab/>
      </w:r>
      <w:r>
        <w:fldChar w:fldCharType="begin"/>
      </w:r>
      <w:r>
        <w:instrText xml:space="preserve"> PAGEREF _Toc733 </w:instrText>
      </w:r>
      <w:r>
        <w:fldChar w:fldCharType="separate"/>
      </w:r>
      <w:r>
        <w:t>5</w:t>
      </w:r>
      <w:r>
        <w:fldChar w:fldCharType="end"/>
      </w:r>
      <w:r>
        <w:rPr>
          <w:rFonts w:hint="eastAsia" w:ascii="仿宋" w:hAnsi="Times New Roman" w:cs="Times New Roman"/>
          <w:szCs w:val="28"/>
        </w:rPr>
        <w:fldChar w:fldCharType="end"/>
      </w:r>
    </w:p>
    <w:p>
      <w:pPr>
        <w:pStyle w:val="5"/>
        <w:tabs>
          <w:tab w:val="right" w:leader="dot" w:pos="8312"/>
        </w:tabs>
      </w:pPr>
      <w:r>
        <w:rPr>
          <w:rFonts w:hint="eastAsia" w:ascii="仿宋" w:hAnsi="Times New Roman" w:cs="Times New Roman"/>
          <w:szCs w:val="28"/>
        </w:rPr>
        <w:fldChar w:fldCharType="begin"/>
      </w:r>
      <w:r>
        <w:rPr>
          <w:rFonts w:hint="eastAsia" w:ascii="仿宋" w:hAnsi="Times New Roman" w:cs="Times New Roman"/>
          <w:szCs w:val="28"/>
        </w:rPr>
        <w:instrText xml:space="preserve"> HYPERLINK \l _Toc16406 </w:instrText>
      </w:r>
      <w:r>
        <w:rPr>
          <w:rFonts w:hint="eastAsia" w:ascii="仿宋" w:hAnsi="Times New Roman" w:cs="Times New Roman"/>
          <w:szCs w:val="28"/>
        </w:rPr>
        <w:fldChar w:fldCharType="separate"/>
      </w:r>
      <w:r>
        <w:rPr>
          <w:rFonts w:hint="eastAsia"/>
        </w:rPr>
        <w:t>2.2.1建设目标</w:t>
      </w:r>
      <w:r>
        <w:tab/>
      </w:r>
      <w:r>
        <w:fldChar w:fldCharType="begin"/>
      </w:r>
      <w:r>
        <w:instrText xml:space="preserve"> PAGEREF _Toc16406 </w:instrText>
      </w:r>
      <w:r>
        <w:fldChar w:fldCharType="separate"/>
      </w:r>
      <w:r>
        <w:t>5</w:t>
      </w:r>
      <w:r>
        <w:fldChar w:fldCharType="end"/>
      </w:r>
      <w:r>
        <w:rPr>
          <w:rFonts w:hint="eastAsia" w:ascii="仿宋" w:hAnsi="Times New Roman" w:cs="Times New Roman"/>
          <w:szCs w:val="28"/>
        </w:rPr>
        <w:fldChar w:fldCharType="end"/>
      </w:r>
    </w:p>
    <w:p>
      <w:pPr>
        <w:pStyle w:val="5"/>
        <w:tabs>
          <w:tab w:val="right" w:leader="dot" w:pos="8312"/>
        </w:tabs>
      </w:pPr>
      <w:r>
        <w:rPr>
          <w:rFonts w:hint="eastAsia" w:ascii="仿宋" w:hAnsi="Times New Roman" w:cs="Times New Roman"/>
          <w:szCs w:val="28"/>
        </w:rPr>
        <w:fldChar w:fldCharType="begin"/>
      </w:r>
      <w:r>
        <w:rPr>
          <w:rFonts w:hint="eastAsia" w:ascii="仿宋" w:hAnsi="Times New Roman" w:cs="Times New Roman"/>
          <w:szCs w:val="28"/>
        </w:rPr>
        <w:instrText xml:space="preserve"> HYPERLINK \l _Toc23454 </w:instrText>
      </w:r>
      <w:r>
        <w:rPr>
          <w:rFonts w:hint="eastAsia" w:ascii="仿宋" w:hAnsi="Times New Roman" w:cs="Times New Roman"/>
          <w:szCs w:val="28"/>
        </w:rPr>
        <w:fldChar w:fldCharType="separate"/>
      </w:r>
      <w:r>
        <w:rPr>
          <w:rFonts w:hint="eastAsia"/>
        </w:rPr>
        <w:t>2.2.2建设规模</w:t>
      </w:r>
      <w:r>
        <w:tab/>
      </w:r>
      <w:r>
        <w:fldChar w:fldCharType="begin"/>
      </w:r>
      <w:r>
        <w:instrText xml:space="preserve"> PAGEREF _Toc23454 </w:instrText>
      </w:r>
      <w:r>
        <w:fldChar w:fldCharType="separate"/>
      </w:r>
      <w:r>
        <w:t>5</w:t>
      </w:r>
      <w:r>
        <w:fldChar w:fldCharType="end"/>
      </w:r>
      <w:r>
        <w:rPr>
          <w:rFonts w:hint="eastAsia" w:ascii="仿宋" w:hAnsi="Times New Roman" w:cs="Times New Roman"/>
          <w:szCs w:val="28"/>
        </w:rPr>
        <w:fldChar w:fldCharType="end"/>
      </w:r>
    </w:p>
    <w:p>
      <w:pPr>
        <w:pStyle w:val="5"/>
        <w:tabs>
          <w:tab w:val="right" w:leader="dot" w:pos="8312"/>
        </w:tabs>
      </w:pPr>
      <w:r>
        <w:rPr>
          <w:rFonts w:hint="eastAsia" w:ascii="仿宋" w:hAnsi="Times New Roman" w:cs="Times New Roman"/>
          <w:szCs w:val="28"/>
        </w:rPr>
        <w:fldChar w:fldCharType="begin"/>
      </w:r>
      <w:r>
        <w:rPr>
          <w:rFonts w:hint="eastAsia" w:ascii="仿宋" w:hAnsi="Times New Roman" w:cs="Times New Roman"/>
          <w:szCs w:val="28"/>
        </w:rPr>
        <w:instrText xml:space="preserve"> HYPERLINK \l _Toc7708 </w:instrText>
      </w:r>
      <w:r>
        <w:rPr>
          <w:rFonts w:hint="eastAsia" w:ascii="仿宋" w:hAnsi="Times New Roman" w:cs="Times New Roman"/>
          <w:szCs w:val="28"/>
        </w:rPr>
        <w:fldChar w:fldCharType="separate"/>
      </w:r>
      <w:r>
        <w:rPr>
          <w:rFonts w:hint="eastAsia"/>
        </w:rPr>
        <w:t>2.2.3建设内容</w:t>
      </w:r>
      <w:r>
        <w:tab/>
      </w:r>
      <w:r>
        <w:fldChar w:fldCharType="begin"/>
      </w:r>
      <w:r>
        <w:instrText xml:space="preserve"> PAGEREF _Toc7708 </w:instrText>
      </w:r>
      <w:r>
        <w:fldChar w:fldCharType="separate"/>
      </w:r>
      <w:r>
        <w:t>6</w:t>
      </w:r>
      <w:r>
        <w:fldChar w:fldCharType="end"/>
      </w:r>
      <w:r>
        <w:rPr>
          <w:rFonts w:hint="eastAsia" w:ascii="仿宋" w:hAnsi="Times New Roman" w:cs="Times New Roman"/>
          <w:szCs w:val="28"/>
        </w:rPr>
        <w:fldChar w:fldCharType="end"/>
      </w:r>
    </w:p>
    <w:p>
      <w:pPr>
        <w:pStyle w:val="8"/>
        <w:tabs>
          <w:tab w:val="right" w:leader="dot" w:pos="8312"/>
        </w:tabs>
      </w:pPr>
      <w:r>
        <w:rPr>
          <w:rFonts w:hint="eastAsia" w:ascii="仿宋" w:hAnsi="Times New Roman" w:cs="Times New Roman"/>
          <w:szCs w:val="28"/>
        </w:rPr>
        <w:fldChar w:fldCharType="begin"/>
      </w:r>
      <w:r>
        <w:rPr>
          <w:rFonts w:hint="eastAsia" w:ascii="仿宋" w:hAnsi="Times New Roman" w:cs="Times New Roman"/>
          <w:szCs w:val="28"/>
        </w:rPr>
        <w:instrText xml:space="preserve"> HYPERLINK \l _Toc11093 </w:instrText>
      </w:r>
      <w:r>
        <w:rPr>
          <w:rFonts w:hint="eastAsia" w:ascii="仿宋" w:hAnsi="Times New Roman" w:cs="Times New Roman"/>
          <w:szCs w:val="28"/>
        </w:rPr>
        <w:fldChar w:fldCharType="separate"/>
      </w:r>
      <w:r>
        <w:rPr>
          <w:rFonts w:hint="eastAsia"/>
        </w:rPr>
        <w:t>３、信息系统安全等级保护预定级报告</w:t>
      </w:r>
      <w:r>
        <w:tab/>
      </w:r>
      <w:r>
        <w:fldChar w:fldCharType="begin"/>
      </w:r>
      <w:r>
        <w:instrText xml:space="preserve"> PAGEREF _Toc11093 </w:instrText>
      </w:r>
      <w:r>
        <w:fldChar w:fldCharType="separate"/>
      </w:r>
      <w:r>
        <w:t>9</w:t>
      </w:r>
      <w:r>
        <w:fldChar w:fldCharType="end"/>
      </w:r>
      <w:r>
        <w:rPr>
          <w:rFonts w:hint="eastAsia" w:ascii="仿宋" w:hAnsi="Times New Roman" w:cs="Times New Roman"/>
          <w:szCs w:val="28"/>
        </w:rPr>
        <w:fldChar w:fldCharType="end"/>
      </w:r>
    </w:p>
    <w:p>
      <w:pPr>
        <w:pStyle w:val="9"/>
        <w:tabs>
          <w:tab w:val="right" w:leader="dot" w:pos="8312"/>
        </w:tabs>
      </w:pPr>
      <w:r>
        <w:rPr>
          <w:rFonts w:hint="eastAsia" w:ascii="仿宋" w:hAnsi="Times New Roman" w:cs="Times New Roman"/>
          <w:szCs w:val="28"/>
        </w:rPr>
        <w:fldChar w:fldCharType="begin"/>
      </w:r>
      <w:r>
        <w:rPr>
          <w:rFonts w:hint="eastAsia" w:ascii="仿宋" w:hAnsi="Times New Roman" w:cs="Times New Roman"/>
          <w:szCs w:val="28"/>
        </w:rPr>
        <w:instrText xml:space="preserve"> HYPERLINK \l _Toc2496 </w:instrText>
      </w:r>
      <w:r>
        <w:rPr>
          <w:rFonts w:hint="eastAsia" w:ascii="仿宋" w:hAnsi="Times New Roman" w:cs="Times New Roman"/>
          <w:szCs w:val="28"/>
        </w:rPr>
        <w:fldChar w:fldCharType="separate"/>
      </w:r>
      <w:r>
        <w:rPr>
          <w:rFonts w:hint="eastAsia"/>
        </w:rPr>
        <w:t>一、广西粮食信息综合监管平台描述</w:t>
      </w:r>
      <w:r>
        <w:tab/>
      </w:r>
      <w:r>
        <w:fldChar w:fldCharType="begin"/>
      </w:r>
      <w:r>
        <w:instrText xml:space="preserve"> PAGEREF _Toc2496 </w:instrText>
      </w:r>
      <w:r>
        <w:fldChar w:fldCharType="separate"/>
      </w:r>
      <w:r>
        <w:t>9</w:t>
      </w:r>
      <w:r>
        <w:fldChar w:fldCharType="end"/>
      </w:r>
      <w:r>
        <w:rPr>
          <w:rFonts w:hint="eastAsia" w:ascii="仿宋" w:hAnsi="Times New Roman" w:cs="Times New Roman"/>
          <w:szCs w:val="28"/>
        </w:rPr>
        <w:fldChar w:fldCharType="end"/>
      </w:r>
    </w:p>
    <w:p>
      <w:pPr>
        <w:pStyle w:val="9"/>
        <w:tabs>
          <w:tab w:val="right" w:leader="dot" w:pos="8312"/>
        </w:tabs>
      </w:pPr>
      <w:r>
        <w:rPr>
          <w:rFonts w:hint="eastAsia" w:ascii="仿宋" w:hAnsi="Times New Roman" w:cs="Times New Roman"/>
          <w:szCs w:val="28"/>
        </w:rPr>
        <w:fldChar w:fldCharType="begin"/>
      </w:r>
      <w:r>
        <w:rPr>
          <w:rFonts w:hint="eastAsia" w:ascii="仿宋" w:hAnsi="Times New Roman" w:cs="Times New Roman"/>
          <w:szCs w:val="28"/>
        </w:rPr>
        <w:instrText xml:space="preserve"> HYPERLINK \l _Toc4012 </w:instrText>
      </w:r>
      <w:r>
        <w:rPr>
          <w:rFonts w:hint="eastAsia" w:ascii="仿宋" w:hAnsi="Times New Roman" w:cs="Times New Roman"/>
          <w:szCs w:val="28"/>
        </w:rPr>
        <w:fldChar w:fldCharType="separate"/>
      </w:r>
      <w:r>
        <w:rPr>
          <w:rFonts w:hint="eastAsia"/>
        </w:rPr>
        <w:t>二、广西粮食信息综合监管平台安全保护等级确定</w:t>
      </w:r>
      <w:r>
        <w:tab/>
      </w:r>
      <w:r>
        <w:fldChar w:fldCharType="begin"/>
      </w:r>
      <w:r>
        <w:instrText xml:space="preserve"> PAGEREF _Toc4012 </w:instrText>
      </w:r>
      <w:r>
        <w:fldChar w:fldCharType="separate"/>
      </w:r>
      <w:r>
        <w:t>10</w:t>
      </w:r>
      <w:r>
        <w:fldChar w:fldCharType="end"/>
      </w:r>
      <w:r>
        <w:rPr>
          <w:rFonts w:hint="eastAsia" w:ascii="仿宋" w:hAnsi="Times New Roman" w:cs="Times New Roman"/>
          <w:szCs w:val="28"/>
        </w:rPr>
        <w:fldChar w:fldCharType="end"/>
      </w:r>
    </w:p>
    <w:p>
      <w:pPr>
        <w:pStyle w:val="5"/>
        <w:tabs>
          <w:tab w:val="right" w:leader="dot" w:pos="8312"/>
        </w:tabs>
      </w:pPr>
      <w:r>
        <w:rPr>
          <w:rFonts w:hint="eastAsia" w:ascii="仿宋" w:hAnsi="Times New Roman" w:cs="Times New Roman"/>
          <w:szCs w:val="28"/>
        </w:rPr>
        <w:fldChar w:fldCharType="begin"/>
      </w:r>
      <w:r>
        <w:rPr>
          <w:rFonts w:hint="eastAsia" w:ascii="仿宋" w:hAnsi="Times New Roman" w:cs="Times New Roman"/>
          <w:szCs w:val="28"/>
        </w:rPr>
        <w:instrText xml:space="preserve"> HYPERLINK \l _Toc16399 </w:instrText>
      </w:r>
      <w:r>
        <w:rPr>
          <w:rFonts w:hint="eastAsia" w:ascii="仿宋" w:hAnsi="Times New Roman" w:cs="Times New Roman"/>
          <w:szCs w:val="28"/>
        </w:rPr>
        <w:fldChar w:fldCharType="separate"/>
      </w:r>
      <w:r>
        <w:rPr>
          <w:rFonts w:hint="eastAsia"/>
        </w:rPr>
        <w:t>（一）业务信息安全保护等级的确定</w:t>
      </w:r>
      <w:r>
        <w:tab/>
      </w:r>
      <w:r>
        <w:fldChar w:fldCharType="begin"/>
      </w:r>
      <w:r>
        <w:instrText xml:space="preserve"> PAGEREF _Toc16399 </w:instrText>
      </w:r>
      <w:r>
        <w:fldChar w:fldCharType="separate"/>
      </w:r>
      <w:r>
        <w:t>10</w:t>
      </w:r>
      <w:r>
        <w:fldChar w:fldCharType="end"/>
      </w:r>
      <w:r>
        <w:rPr>
          <w:rFonts w:hint="eastAsia" w:ascii="仿宋" w:hAnsi="Times New Roman" w:cs="Times New Roman"/>
          <w:szCs w:val="28"/>
        </w:rPr>
        <w:fldChar w:fldCharType="end"/>
      </w:r>
    </w:p>
    <w:p>
      <w:pPr>
        <w:pStyle w:val="5"/>
        <w:tabs>
          <w:tab w:val="right" w:leader="dot" w:pos="8312"/>
        </w:tabs>
      </w:pPr>
      <w:r>
        <w:rPr>
          <w:rFonts w:hint="eastAsia" w:ascii="仿宋" w:hAnsi="Times New Roman" w:cs="Times New Roman"/>
          <w:szCs w:val="28"/>
        </w:rPr>
        <w:fldChar w:fldCharType="begin"/>
      </w:r>
      <w:r>
        <w:rPr>
          <w:rFonts w:hint="eastAsia" w:ascii="仿宋" w:hAnsi="Times New Roman" w:cs="Times New Roman"/>
          <w:szCs w:val="28"/>
        </w:rPr>
        <w:instrText xml:space="preserve"> HYPERLINK \l _Toc14177 </w:instrText>
      </w:r>
      <w:r>
        <w:rPr>
          <w:rFonts w:hint="eastAsia" w:ascii="仿宋" w:hAnsi="Times New Roman" w:cs="Times New Roman"/>
          <w:szCs w:val="28"/>
        </w:rPr>
        <w:fldChar w:fldCharType="separate"/>
      </w:r>
      <w:r>
        <w:t>（</w:t>
      </w:r>
      <w:r>
        <w:rPr>
          <w:rFonts w:hint="eastAsia"/>
        </w:rPr>
        <w:t>二</w:t>
      </w:r>
      <w:r>
        <w:t>）系统服务安全保护等级</w:t>
      </w:r>
      <w:r>
        <w:rPr>
          <w:rFonts w:hint="eastAsia"/>
        </w:rPr>
        <w:t>的确定</w:t>
      </w:r>
      <w:r>
        <w:tab/>
      </w:r>
      <w:r>
        <w:fldChar w:fldCharType="begin"/>
      </w:r>
      <w:r>
        <w:instrText xml:space="preserve"> PAGEREF _Toc14177 </w:instrText>
      </w:r>
      <w:r>
        <w:fldChar w:fldCharType="separate"/>
      </w:r>
      <w:r>
        <w:t>12</w:t>
      </w:r>
      <w:r>
        <w:fldChar w:fldCharType="end"/>
      </w:r>
      <w:r>
        <w:rPr>
          <w:rFonts w:hint="eastAsia" w:ascii="仿宋" w:hAnsi="Times New Roman" w:cs="Times New Roman"/>
          <w:szCs w:val="28"/>
        </w:rPr>
        <w:fldChar w:fldCharType="end"/>
      </w:r>
    </w:p>
    <w:p>
      <w:pPr>
        <w:pStyle w:val="5"/>
        <w:tabs>
          <w:tab w:val="right" w:leader="dot" w:pos="8312"/>
        </w:tabs>
      </w:pPr>
      <w:r>
        <w:rPr>
          <w:rFonts w:hint="eastAsia" w:ascii="仿宋" w:hAnsi="Times New Roman" w:cs="Times New Roman"/>
          <w:szCs w:val="28"/>
        </w:rPr>
        <w:fldChar w:fldCharType="begin"/>
      </w:r>
      <w:r>
        <w:rPr>
          <w:rFonts w:hint="eastAsia" w:ascii="仿宋" w:hAnsi="Times New Roman" w:cs="Times New Roman"/>
          <w:szCs w:val="28"/>
        </w:rPr>
        <w:instrText xml:space="preserve"> HYPERLINK \l _Toc2857 </w:instrText>
      </w:r>
      <w:r>
        <w:rPr>
          <w:rFonts w:hint="eastAsia" w:ascii="仿宋" w:hAnsi="Times New Roman" w:cs="Times New Roman"/>
          <w:szCs w:val="28"/>
        </w:rPr>
        <w:fldChar w:fldCharType="separate"/>
      </w:r>
      <w:r>
        <w:t>（</w:t>
      </w:r>
      <w:r>
        <w:rPr>
          <w:rFonts w:hint="eastAsia"/>
        </w:rPr>
        <w:t>三</w:t>
      </w:r>
      <w:r>
        <w:t>）安全保护等级的确定</w:t>
      </w:r>
      <w:r>
        <w:tab/>
      </w:r>
      <w:r>
        <w:fldChar w:fldCharType="begin"/>
      </w:r>
      <w:r>
        <w:instrText xml:space="preserve"> PAGEREF _Toc2857 </w:instrText>
      </w:r>
      <w:r>
        <w:fldChar w:fldCharType="separate"/>
      </w:r>
      <w:r>
        <w:t>13</w:t>
      </w:r>
      <w:r>
        <w:fldChar w:fldCharType="end"/>
      </w:r>
      <w:r>
        <w:rPr>
          <w:rFonts w:hint="eastAsia" w:ascii="仿宋" w:hAnsi="Times New Roman" w:cs="Times New Roman"/>
          <w:szCs w:val="28"/>
        </w:rPr>
        <w:fldChar w:fldCharType="end"/>
      </w:r>
    </w:p>
    <w:p>
      <w:pPr>
        <w:spacing w:line="360" w:lineRule="auto"/>
        <w:ind w:firstLine="560"/>
        <w:rPr>
          <w:rFonts w:ascii="仿宋" w:hAnsi="Times New Roman" w:cs="Times New Roman"/>
          <w:sz w:val="28"/>
          <w:szCs w:val="28"/>
        </w:rPr>
      </w:pPr>
      <w:r>
        <w:rPr>
          <w:rFonts w:hint="eastAsia" w:ascii="仿宋" w:hAnsi="Times New Roman" w:cs="Times New Roman"/>
          <w:szCs w:val="28"/>
        </w:rPr>
        <w:fldChar w:fldCharType="end"/>
      </w:r>
    </w:p>
    <w:p>
      <w:pPr>
        <w:spacing w:line="360" w:lineRule="auto"/>
        <w:ind w:firstLine="560"/>
        <w:jc w:val="center"/>
        <w:rPr>
          <w:rFonts w:ascii="仿宋" w:hAnsi="Times New Roman" w:cs="MingLiU"/>
          <w:b/>
          <w:w w:val="99"/>
          <w:kern w:val="0"/>
          <w:szCs w:val="32"/>
        </w:rPr>
      </w:pPr>
      <w:r>
        <w:rPr>
          <w:rFonts w:hint="eastAsia" w:ascii="仿宋" w:hAnsi="Times New Roman" w:cs="Times New Roman"/>
          <w:sz w:val="28"/>
          <w:szCs w:val="28"/>
        </w:rPr>
        <w:br w:type="page"/>
      </w:r>
      <w:r>
        <w:rPr>
          <w:rFonts w:hint="eastAsia" w:ascii="仿宋" w:hAnsi="Times New Roman" w:cs="MingLiU"/>
          <w:b/>
          <w:w w:val="99"/>
          <w:kern w:val="0"/>
          <w:szCs w:val="32"/>
        </w:rPr>
        <w:t>填</w:t>
      </w:r>
      <w:r>
        <w:rPr>
          <w:rFonts w:hint="eastAsia" w:ascii="仿宋" w:hAnsi="Times New Roman" w:cs="Times New Roman"/>
          <w:b/>
          <w:kern w:val="0"/>
          <w:szCs w:val="32"/>
        </w:rPr>
        <w:t xml:space="preserve"> </w:t>
      </w:r>
      <w:r>
        <w:rPr>
          <w:rFonts w:hint="eastAsia" w:ascii="仿宋" w:hAnsi="Times New Roman" w:cs="MingLiU"/>
          <w:b/>
          <w:w w:val="99"/>
          <w:kern w:val="0"/>
          <w:szCs w:val="32"/>
        </w:rPr>
        <w:t>写</w:t>
      </w:r>
      <w:r>
        <w:rPr>
          <w:rFonts w:hint="eastAsia" w:ascii="仿宋" w:hAnsi="Times New Roman" w:cs="Times New Roman"/>
          <w:b/>
          <w:kern w:val="0"/>
          <w:szCs w:val="32"/>
        </w:rPr>
        <w:t xml:space="preserve"> </w:t>
      </w:r>
      <w:r>
        <w:rPr>
          <w:rFonts w:hint="eastAsia" w:ascii="仿宋" w:hAnsi="Times New Roman" w:cs="MingLiU"/>
          <w:b/>
          <w:w w:val="99"/>
          <w:kern w:val="0"/>
          <w:szCs w:val="32"/>
        </w:rPr>
        <w:t>说</w:t>
      </w:r>
      <w:r>
        <w:rPr>
          <w:rFonts w:hint="eastAsia" w:ascii="仿宋" w:hAnsi="Times New Roman" w:cs="Times New Roman"/>
          <w:b/>
          <w:kern w:val="0"/>
          <w:szCs w:val="32"/>
        </w:rPr>
        <w:tab/>
      </w:r>
      <w:r>
        <w:rPr>
          <w:rFonts w:hint="eastAsia" w:ascii="仿宋" w:hAnsi="Times New Roman" w:cs="MingLiU"/>
          <w:b/>
          <w:w w:val="99"/>
          <w:kern w:val="0"/>
          <w:szCs w:val="32"/>
        </w:rPr>
        <w:t>明</w:t>
      </w:r>
    </w:p>
    <w:p>
      <w:pPr>
        <w:tabs>
          <w:tab w:val="left" w:pos="4520"/>
          <w:tab w:val="left" w:pos="5240"/>
        </w:tabs>
        <w:autoSpaceDE w:val="0"/>
        <w:autoSpaceDN w:val="0"/>
        <w:adjustRightInd w:val="0"/>
        <w:spacing w:line="360" w:lineRule="auto"/>
        <w:ind w:left="3218" w:right="3300" w:firstLine="643"/>
        <w:jc w:val="center"/>
        <w:rPr>
          <w:rFonts w:ascii="仿宋" w:hAnsi="Times New Roman" w:cs="MingLiU"/>
          <w:b/>
          <w:kern w:val="0"/>
          <w:szCs w:val="32"/>
        </w:rPr>
      </w:pPr>
    </w:p>
    <w:p>
      <w:pPr>
        <w:autoSpaceDE w:val="0"/>
        <w:autoSpaceDN w:val="0"/>
        <w:adjustRightInd w:val="0"/>
        <w:spacing w:line="360" w:lineRule="auto"/>
        <w:ind w:right="-195" w:firstLine="600" w:firstLineChars="192"/>
        <w:jc w:val="left"/>
        <w:rPr>
          <w:rFonts w:ascii="仿宋" w:hAnsi="Times New Roman" w:cs="MingLiU"/>
          <w:kern w:val="0"/>
          <w:szCs w:val="32"/>
        </w:rPr>
      </w:pPr>
      <w:r>
        <w:rPr>
          <w:rFonts w:hint="eastAsia" w:ascii="仿宋" w:hAnsi="Times New Roman" w:cs="MingLiU"/>
          <w:w w:val="98"/>
          <w:kern w:val="0"/>
          <w:szCs w:val="32"/>
        </w:rPr>
        <w:t>1</w:t>
      </w:r>
      <w:r>
        <w:rPr>
          <w:rFonts w:hint="eastAsia" w:ascii="仿宋" w:hAnsi="Times New Roman" w:cs="MingLiU"/>
          <w:spacing w:val="-67"/>
          <w:w w:val="98"/>
          <w:kern w:val="0"/>
          <w:szCs w:val="32"/>
        </w:rPr>
        <w:t>、</w:t>
      </w:r>
      <w:r>
        <w:rPr>
          <w:rFonts w:hint="eastAsia" w:ascii="仿宋" w:hAnsi="Times New Roman" w:cs="MingLiU"/>
          <w:spacing w:val="5"/>
          <w:w w:val="98"/>
          <w:kern w:val="0"/>
          <w:szCs w:val="32"/>
        </w:rPr>
        <w:t>填</w:t>
      </w:r>
      <w:r>
        <w:rPr>
          <w:rFonts w:hint="eastAsia" w:ascii="仿宋" w:hAnsi="Times New Roman" w:cs="MingLiU"/>
          <w:w w:val="98"/>
          <w:kern w:val="0"/>
          <w:szCs w:val="32"/>
        </w:rPr>
        <w:t>报</w:t>
      </w:r>
      <w:r>
        <w:rPr>
          <w:rFonts w:hint="eastAsia" w:ascii="仿宋" w:hAnsi="Times New Roman" w:cs="MingLiU"/>
          <w:spacing w:val="5"/>
          <w:w w:val="98"/>
          <w:kern w:val="0"/>
          <w:szCs w:val="32"/>
        </w:rPr>
        <w:t>依</w:t>
      </w:r>
      <w:r>
        <w:rPr>
          <w:rFonts w:hint="eastAsia" w:ascii="仿宋" w:hAnsi="Times New Roman" w:cs="MingLiU"/>
          <w:spacing w:val="-4"/>
          <w:w w:val="98"/>
          <w:kern w:val="0"/>
          <w:szCs w:val="32"/>
        </w:rPr>
        <w:t>据</w:t>
      </w:r>
      <w:r>
        <w:rPr>
          <w:rFonts w:hint="eastAsia" w:ascii="仿宋" w:hAnsi="Times New Roman" w:cs="MingLiU"/>
          <w:spacing w:val="-67"/>
          <w:w w:val="98"/>
          <w:kern w:val="0"/>
          <w:szCs w:val="32"/>
        </w:rPr>
        <w:t>。</w:t>
      </w:r>
      <w:r>
        <w:rPr>
          <w:rFonts w:hint="eastAsia" w:ascii="仿宋" w:hAnsi="Times New Roman" w:cs="MingLiU"/>
          <w:spacing w:val="5"/>
          <w:w w:val="98"/>
          <w:kern w:val="0"/>
          <w:position w:val="-3"/>
          <w:szCs w:val="32"/>
        </w:rPr>
        <w:t>根据《信息安全等级保护管理办法》（公通字[2007]43号）之附则规定，制作本预定级申请报告</w:t>
      </w:r>
      <w:r>
        <w:rPr>
          <w:rFonts w:hint="eastAsia" w:ascii="仿宋" w:hAnsi="Times New Roman" w:cs="MingLiU"/>
          <w:w w:val="98"/>
          <w:kern w:val="0"/>
          <w:szCs w:val="32"/>
        </w:rPr>
        <w:t>；</w:t>
      </w:r>
    </w:p>
    <w:p>
      <w:pPr>
        <w:autoSpaceDE w:val="0"/>
        <w:autoSpaceDN w:val="0"/>
        <w:adjustRightInd w:val="0"/>
        <w:spacing w:line="360" w:lineRule="auto"/>
        <w:ind w:right="-45" w:firstLine="620" w:firstLineChars="192"/>
        <w:jc w:val="left"/>
        <w:rPr>
          <w:rFonts w:ascii="仿宋" w:hAnsi="Times New Roman" w:cs="MingLiU"/>
          <w:kern w:val="0"/>
          <w:szCs w:val="32"/>
        </w:rPr>
      </w:pPr>
      <w:r>
        <w:rPr>
          <w:rFonts w:hint="eastAsia" w:ascii="仿宋" w:hAnsi="Times New Roman" w:cs="MingLiU"/>
          <w:spacing w:val="5"/>
          <w:w w:val="98"/>
          <w:kern w:val="0"/>
          <w:position w:val="-3"/>
          <w:szCs w:val="32"/>
        </w:rPr>
        <w:t>2、填报范</w:t>
      </w:r>
      <w:r>
        <w:rPr>
          <w:rFonts w:hint="eastAsia" w:ascii="仿宋" w:hAnsi="Times New Roman" w:cs="MingLiU"/>
          <w:spacing w:val="-4"/>
          <w:w w:val="98"/>
          <w:kern w:val="0"/>
          <w:position w:val="-3"/>
          <w:szCs w:val="32"/>
        </w:rPr>
        <w:t>围</w:t>
      </w:r>
      <w:r>
        <w:rPr>
          <w:rFonts w:hint="eastAsia" w:ascii="仿宋" w:hAnsi="Times New Roman" w:cs="MingLiU"/>
          <w:spacing w:val="5"/>
          <w:w w:val="98"/>
          <w:kern w:val="0"/>
          <w:position w:val="-3"/>
          <w:szCs w:val="32"/>
        </w:rPr>
        <w:t>。属于国家电子政务建设项目的项目立项单位负责填写本报告。</w:t>
      </w:r>
    </w:p>
    <w:p>
      <w:pPr>
        <w:autoSpaceDE w:val="0"/>
        <w:autoSpaceDN w:val="0"/>
        <w:adjustRightInd w:val="0"/>
        <w:spacing w:line="360" w:lineRule="auto"/>
        <w:ind w:right="-115" w:firstLine="600" w:firstLineChars="192"/>
        <w:jc w:val="left"/>
        <w:rPr>
          <w:rFonts w:cs="Times New Roman"/>
        </w:rPr>
      </w:pPr>
      <w:r>
        <w:rPr>
          <w:rFonts w:hint="eastAsia" w:ascii="仿宋" w:hAnsi="Times New Roman" w:cs="MingLiU"/>
          <w:w w:val="98"/>
          <w:kern w:val="0"/>
          <w:szCs w:val="32"/>
        </w:rPr>
        <w:t>3</w:t>
      </w:r>
      <w:r>
        <w:rPr>
          <w:rFonts w:hint="eastAsia" w:ascii="仿宋" w:hAnsi="Times New Roman" w:cs="MingLiU"/>
          <w:spacing w:val="5"/>
          <w:w w:val="98"/>
          <w:kern w:val="0"/>
          <w:szCs w:val="32"/>
        </w:rPr>
        <w:t>、</w:t>
      </w:r>
      <w:r>
        <w:rPr>
          <w:rFonts w:hint="eastAsia" w:ascii="仿宋" w:hAnsi="Times New Roman" w:cs="MingLiU"/>
          <w:color w:val="000000"/>
          <w:spacing w:val="5"/>
          <w:w w:val="98"/>
          <w:kern w:val="0"/>
          <w:szCs w:val="32"/>
        </w:rPr>
        <w:t>系统预定级报告</w:t>
      </w:r>
      <w:r>
        <w:rPr>
          <w:rFonts w:hint="eastAsia" w:ascii="仿宋" w:hAnsi="Times New Roman" w:cs="MingLiU"/>
          <w:color w:val="000000"/>
          <w:spacing w:val="-3"/>
          <w:w w:val="98"/>
          <w:kern w:val="0"/>
          <w:szCs w:val="32"/>
        </w:rPr>
        <w:t>：</w:t>
      </w:r>
      <w:r>
        <w:rPr>
          <w:rFonts w:hint="eastAsia" w:ascii="仿宋" w:hAnsi="Times New Roman" w:cs="MingLiU"/>
          <w:color w:val="000000"/>
          <w:spacing w:val="5"/>
          <w:w w:val="98"/>
          <w:kern w:val="0"/>
          <w:szCs w:val="32"/>
        </w:rPr>
        <w:t>是指</w:t>
      </w:r>
      <w:r>
        <w:rPr>
          <w:rFonts w:hint="eastAsia" w:ascii="仿宋" w:hAnsi="Times New Roman" w:cs="MingLiU"/>
          <w:color w:val="000000"/>
          <w:w w:val="98"/>
          <w:kern w:val="0"/>
          <w:szCs w:val="32"/>
        </w:rPr>
        <w:t>依</w:t>
      </w:r>
      <w:r>
        <w:rPr>
          <w:rFonts w:hint="eastAsia" w:ascii="仿宋" w:hAnsi="Times New Roman" w:cs="MingLiU"/>
          <w:color w:val="000000"/>
          <w:spacing w:val="5"/>
          <w:w w:val="98"/>
          <w:kern w:val="0"/>
          <w:szCs w:val="32"/>
        </w:rPr>
        <w:t>据《</w:t>
      </w:r>
      <w:r>
        <w:rPr>
          <w:rFonts w:hint="eastAsia" w:ascii="仿宋" w:hAnsi="Times New Roman" w:cs="MingLiU"/>
          <w:bCs/>
          <w:color w:val="000000"/>
          <w:spacing w:val="5"/>
          <w:w w:val="98"/>
          <w:kern w:val="0"/>
          <w:szCs w:val="32"/>
        </w:rPr>
        <w:t>关于开展全国重要信息系统安全等级保护定级工作的通知</w:t>
      </w:r>
      <w:r>
        <w:rPr>
          <w:rFonts w:hint="eastAsia" w:ascii="仿宋" w:hAnsi="Times New Roman" w:cs="MingLiU"/>
          <w:color w:val="000000"/>
          <w:spacing w:val="5"/>
          <w:w w:val="98"/>
          <w:kern w:val="0"/>
          <w:szCs w:val="32"/>
        </w:rPr>
        <w:t>》（公信安[2007]861号）文的附件</w:t>
      </w:r>
      <w:r>
        <w:rPr>
          <w:rFonts w:hint="eastAsia" w:ascii="仿宋" w:hAnsi="Times New Roman" w:cs="MingLiU"/>
          <w:color w:val="000000"/>
          <w:w w:val="98"/>
          <w:kern w:val="0"/>
          <w:szCs w:val="32"/>
        </w:rPr>
        <w:t>《信息系统安全等级保护定级报告》模版</w:t>
      </w:r>
      <w:r>
        <w:rPr>
          <w:rFonts w:hint="eastAsia" w:ascii="仿宋" w:hAnsi="Times New Roman" w:cs="MingLiU"/>
          <w:color w:val="000000"/>
          <w:spacing w:val="5"/>
          <w:w w:val="98"/>
          <w:kern w:val="0"/>
          <w:szCs w:val="32"/>
        </w:rPr>
        <w:t>编写</w:t>
      </w:r>
      <w:r>
        <w:rPr>
          <w:rFonts w:hint="eastAsia" w:ascii="仿宋" w:hAnsi="Times New Roman" w:cs="MingLiU"/>
          <w:color w:val="000000"/>
          <w:w w:val="98"/>
          <w:kern w:val="0"/>
          <w:szCs w:val="32"/>
        </w:rPr>
        <w:t>的</w:t>
      </w:r>
      <w:r>
        <w:rPr>
          <w:rFonts w:hint="eastAsia" w:ascii="仿宋" w:hAnsi="Times New Roman" w:cs="MingLiU"/>
          <w:color w:val="000000"/>
          <w:spacing w:val="5"/>
          <w:w w:val="98"/>
          <w:kern w:val="0"/>
          <w:szCs w:val="32"/>
        </w:rPr>
        <w:t>定级报</w:t>
      </w:r>
      <w:r>
        <w:rPr>
          <w:rFonts w:hint="eastAsia" w:ascii="仿宋" w:hAnsi="Times New Roman" w:cs="MingLiU"/>
          <w:color w:val="000000"/>
          <w:w w:val="98"/>
          <w:kern w:val="0"/>
          <w:szCs w:val="32"/>
        </w:rPr>
        <w:t>告，每个信息系统均需要一个单独的定级报告</w:t>
      </w:r>
      <w:r>
        <w:rPr>
          <w:rFonts w:hint="eastAsia" w:ascii="仿宋" w:hAnsi="Times New Roman" w:cs="MingLiU"/>
          <w:color w:val="000000"/>
          <w:spacing w:val="5"/>
          <w:w w:val="98"/>
          <w:kern w:val="0"/>
          <w:szCs w:val="32"/>
        </w:rPr>
        <w:t>。</w:t>
      </w:r>
    </w:p>
    <w:p>
      <w:pPr>
        <w:autoSpaceDE w:val="0"/>
        <w:autoSpaceDN w:val="0"/>
        <w:adjustRightInd w:val="0"/>
        <w:spacing w:line="360" w:lineRule="auto"/>
        <w:ind w:right="-115" w:firstLine="614" w:firstLineChars="192"/>
        <w:jc w:val="left"/>
        <w:rPr>
          <w:rFonts w:cs="Times New Roman"/>
        </w:rPr>
      </w:pPr>
    </w:p>
    <w:p>
      <w:pPr>
        <w:autoSpaceDE w:val="0"/>
        <w:autoSpaceDN w:val="0"/>
        <w:adjustRightInd w:val="0"/>
        <w:spacing w:line="360" w:lineRule="auto"/>
        <w:ind w:right="-115" w:firstLine="614" w:firstLineChars="192"/>
        <w:jc w:val="left"/>
        <w:rPr>
          <w:rFonts w:cs="Times New Roman"/>
        </w:rPr>
      </w:pPr>
    </w:p>
    <w:p>
      <w:pPr>
        <w:autoSpaceDE w:val="0"/>
        <w:autoSpaceDN w:val="0"/>
        <w:adjustRightInd w:val="0"/>
        <w:spacing w:line="360" w:lineRule="auto"/>
        <w:ind w:right="-115" w:firstLine="614" w:firstLineChars="192"/>
        <w:jc w:val="left"/>
        <w:rPr>
          <w:rFonts w:cs="Times New Roman"/>
        </w:rPr>
      </w:pPr>
    </w:p>
    <w:p>
      <w:pPr>
        <w:autoSpaceDE w:val="0"/>
        <w:autoSpaceDN w:val="0"/>
        <w:adjustRightInd w:val="0"/>
        <w:spacing w:line="360" w:lineRule="auto"/>
        <w:ind w:right="-115" w:firstLine="614" w:firstLineChars="192"/>
        <w:jc w:val="left"/>
        <w:rPr>
          <w:rFonts w:cs="Times New Roman"/>
        </w:rPr>
      </w:pPr>
    </w:p>
    <w:p>
      <w:pPr>
        <w:autoSpaceDE w:val="0"/>
        <w:autoSpaceDN w:val="0"/>
        <w:adjustRightInd w:val="0"/>
        <w:spacing w:line="360" w:lineRule="auto"/>
        <w:ind w:right="-115" w:firstLine="614" w:firstLineChars="192"/>
        <w:jc w:val="left"/>
        <w:rPr>
          <w:rFonts w:cs="Times New Roman"/>
        </w:rPr>
      </w:pPr>
    </w:p>
    <w:p>
      <w:pPr>
        <w:autoSpaceDE w:val="0"/>
        <w:autoSpaceDN w:val="0"/>
        <w:adjustRightInd w:val="0"/>
        <w:spacing w:line="360" w:lineRule="auto"/>
        <w:ind w:right="-115" w:firstLine="614" w:firstLineChars="192"/>
        <w:jc w:val="left"/>
        <w:rPr>
          <w:rFonts w:cs="Times New Roman"/>
        </w:rPr>
      </w:pPr>
    </w:p>
    <w:p>
      <w:pPr>
        <w:autoSpaceDE w:val="0"/>
        <w:autoSpaceDN w:val="0"/>
        <w:adjustRightInd w:val="0"/>
        <w:spacing w:line="360" w:lineRule="auto"/>
        <w:ind w:right="-115" w:firstLine="614" w:firstLineChars="192"/>
        <w:jc w:val="left"/>
        <w:rPr>
          <w:rFonts w:cs="Times New Roman"/>
        </w:rPr>
      </w:pPr>
    </w:p>
    <w:p>
      <w:pPr>
        <w:autoSpaceDE w:val="0"/>
        <w:autoSpaceDN w:val="0"/>
        <w:adjustRightInd w:val="0"/>
        <w:spacing w:line="360" w:lineRule="auto"/>
        <w:ind w:right="-115" w:firstLine="614" w:firstLineChars="192"/>
        <w:jc w:val="left"/>
        <w:rPr>
          <w:rFonts w:cs="Times New Roman"/>
        </w:rPr>
      </w:pPr>
    </w:p>
    <w:p>
      <w:pPr>
        <w:autoSpaceDE w:val="0"/>
        <w:autoSpaceDN w:val="0"/>
        <w:adjustRightInd w:val="0"/>
        <w:spacing w:line="360" w:lineRule="auto"/>
        <w:ind w:right="-115" w:firstLine="614" w:firstLineChars="192"/>
        <w:jc w:val="left"/>
        <w:rPr>
          <w:rFonts w:cs="Times New Roman"/>
        </w:rPr>
      </w:pPr>
    </w:p>
    <w:p>
      <w:pPr>
        <w:autoSpaceDE w:val="0"/>
        <w:autoSpaceDN w:val="0"/>
        <w:adjustRightInd w:val="0"/>
        <w:spacing w:line="360" w:lineRule="auto"/>
        <w:ind w:right="-115" w:firstLine="614" w:firstLineChars="192"/>
        <w:jc w:val="left"/>
        <w:rPr>
          <w:rFonts w:cs="Times New Roman"/>
        </w:rPr>
      </w:pPr>
    </w:p>
    <w:p>
      <w:pPr>
        <w:autoSpaceDE w:val="0"/>
        <w:autoSpaceDN w:val="0"/>
        <w:adjustRightInd w:val="0"/>
        <w:spacing w:line="360" w:lineRule="auto"/>
        <w:ind w:right="-115" w:firstLine="614" w:firstLineChars="192"/>
        <w:jc w:val="left"/>
        <w:rPr>
          <w:rFonts w:cs="Times New Roman"/>
        </w:rPr>
      </w:pPr>
    </w:p>
    <w:p>
      <w:pPr>
        <w:autoSpaceDE w:val="0"/>
        <w:autoSpaceDN w:val="0"/>
        <w:adjustRightInd w:val="0"/>
        <w:spacing w:line="360" w:lineRule="auto"/>
        <w:ind w:right="-115" w:firstLine="614" w:firstLineChars="192"/>
        <w:jc w:val="left"/>
        <w:rPr>
          <w:rFonts w:cs="Times New Roman"/>
        </w:rPr>
      </w:pPr>
    </w:p>
    <w:p>
      <w:pPr>
        <w:pStyle w:val="2"/>
        <w:rPr>
          <w:rStyle w:val="14"/>
          <w:b/>
          <w:bCs/>
        </w:rPr>
      </w:pPr>
      <w:bookmarkStart w:id="0" w:name="_Toc30111"/>
      <w:r>
        <w:rPr>
          <w:rStyle w:val="14"/>
          <w:b/>
          <w:bCs/>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0" cy="0"/>
                <wp:effectExtent l="0" t="0" r="0" b="0"/>
                <wp:wrapNone/>
                <wp:docPr id="1" name="组合 1"/>
                <wp:cNvGraphicFramePr/>
                <a:graphic xmlns:a="http://schemas.openxmlformats.org/drawingml/2006/main">
                  <a:graphicData uri="http://schemas.microsoft.com/office/word/2010/wordprocessingGroup">
                    <wpg:wgp>
                      <wpg:cNvGrpSpPr/>
                      <wpg:grpSpPr>
                        <a:xfrm>
                          <a:off x="0" y="0"/>
                          <a:ext cx="0" cy="0"/>
                          <a:chOff x="0" y="0"/>
                          <a:chExt cx="0" cy="0"/>
                        </a:xfrm>
                      </wpg:grpSpPr>
                      <wps:wsp>
                        <wps:cNvPr id="2" name="曲线 3"/>
                        <wps:cNvSpPr/>
                        <wps:spPr bwMode="auto">
                          <a:xfrm>
                            <a:off x="0" y="0"/>
                            <a:ext cx="1" cy="1"/>
                          </a:xfrm>
                          <a:custGeom>
                            <a:avLst/>
                            <a:gdLst>
                              <a:gd name="T0" fmla="*/ 0 w 44"/>
                              <a:gd name="T1" fmla="*/ 0 h 59"/>
                              <a:gd name="T2" fmla="*/ 44 w 44"/>
                              <a:gd name="T3" fmla="*/ 59 h 59"/>
                            </a:gdLst>
                            <a:ahLst/>
                            <a:cxnLst>
                              <a:cxn ang="0">
                                <a:pos x="T0" y="T1"/>
                              </a:cxn>
                              <a:cxn ang="0">
                                <a:pos x="T2" y="T3"/>
                              </a:cxn>
                            </a:cxnLst>
                            <a:rect l="0" t="0" r="r" b="b"/>
                            <a:pathLst>
                              <a:path w="44" h="59">
                                <a:moveTo>
                                  <a:pt x="0" y="0"/>
                                </a:moveTo>
                                <a:lnTo>
                                  <a:pt x="44" y="59"/>
                                </a:lnTo>
                              </a:path>
                            </a:pathLst>
                          </a:custGeom>
                          <a:noFill/>
                          <a:ln w="6106"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3" name="曲线 4"/>
                        <wps:cNvSpPr/>
                        <wps:spPr bwMode="auto">
                          <a:xfrm>
                            <a:off x="0" y="0"/>
                            <a:ext cx="1" cy="1"/>
                          </a:xfrm>
                          <a:custGeom>
                            <a:avLst/>
                            <a:gdLst>
                              <a:gd name="T0" fmla="*/ 0 w 44"/>
                              <a:gd name="T1" fmla="*/ 0 h 59"/>
                              <a:gd name="T2" fmla="*/ 44 w 44"/>
                              <a:gd name="T3" fmla="*/ 59 h 59"/>
                            </a:gdLst>
                            <a:ahLst/>
                            <a:cxnLst>
                              <a:cxn ang="0">
                                <a:pos x="T0" y="T1"/>
                              </a:cxn>
                              <a:cxn ang="0">
                                <a:pos x="T2" y="T3"/>
                              </a:cxn>
                            </a:cxnLst>
                            <a:rect l="0" t="0" r="r" b="b"/>
                            <a:pathLst>
                              <a:path w="44" h="59">
                                <a:moveTo>
                                  <a:pt x="0" y="0"/>
                                </a:moveTo>
                                <a:lnTo>
                                  <a:pt x="44" y="59"/>
                                </a:lnTo>
                              </a:path>
                            </a:pathLst>
                          </a:custGeom>
                          <a:noFill/>
                          <a:ln w="6106"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4" name="曲线 5"/>
                        <wps:cNvSpPr/>
                        <wps:spPr bwMode="auto">
                          <a:xfrm>
                            <a:off x="0" y="0"/>
                            <a:ext cx="1" cy="1"/>
                          </a:xfrm>
                          <a:custGeom>
                            <a:avLst/>
                            <a:gdLst>
                              <a:gd name="T0" fmla="*/ 0 w 44"/>
                              <a:gd name="T1" fmla="*/ 0 h 59"/>
                              <a:gd name="T2" fmla="*/ 44 w 44"/>
                              <a:gd name="T3" fmla="*/ 59 h 59"/>
                            </a:gdLst>
                            <a:ahLst/>
                            <a:cxnLst>
                              <a:cxn ang="0">
                                <a:pos x="T0" y="T1"/>
                              </a:cxn>
                              <a:cxn ang="0">
                                <a:pos x="T2" y="T3"/>
                              </a:cxn>
                            </a:cxnLst>
                            <a:rect l="0" t="0" r="r" b="b"/>
                            <a:pathLst>
                              <a:path w="44" h="59">
                                <a:moveTo>
                                  <a:pt x="0" y="0"/>
                                </a:moveTo>
                                <a:lnTo>
                                  <a:pt x="44" y="59"/>
                                </a:lnTo>
                              </a:path>
                            </a:pathLst>
                          </a:custGeom>
                          <a:noFill/>
                          <a:ln w="6106"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5" name="曲线 6"/>
                        <wps:cNvSpPr/>
                        <wps:spPr bwMode="auto">
                          <a:xfrm>
                            <a:off x="0" y="0"/>
                            <a:ext cx="1" cy="1"/>
                          </a:xfrm>
                          <a:custGeom>
                            <a:avLst/>
                            <a:gdLst>
                              <a:gd name="T0" fmla="*/ 0 w 44"/>
                              <a:gd name="T1" fmla="*/ 0 h 59"/>
                              <a:gd name="T2" fmla="*/ 44 w 44"/>
                              <a:gd name="T3" fmla="*/ 59 h 59"/>
                            </a:gdLst>
                            <a:ahLst/>
                            <a:cxnLst>
                              <a:cxn ang="0">
                                <a:pos x="T0" y="T1"/>
                              </a:cxn>
                              <a:cxn ang="0">
                                <a:pos x="T2" y="T3"/>
                              </a:cxn>
                            </a:cxnLst>
                            <a:rect l="0" t="0" r="r" b="b"/>
                            <a:pathLst>
                              <a:path w="44" h="59">
                                <a:moveTo>
                                  <a:pt x="0" y="0"/>
                                </a:moveTo>
                                <a:lnTo>
                                  <a:pt x="44" y="59"/>
                                </a:lnTo>
                              </a:path>
                            </a:pathLst>
                          </a:custGeom>
                          <a:noFill/>
                          <a:ln w="6106"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6" name="曲线 7"/>
                        <wps:cNvSpPr/>
                        <wps:spPr bwMode="auto">
                          <a:xfrm>
                            <a:off x="0" y="0"/>
                            <a:ext cx="1" cy="1"/>
                          </a:xfrm>
                          <a:custGeom>
                            <a:avLst/>
                            <a:gdLst>
                              <a:gd name="T0" fmla="*/ 0 w 44"/>
                              <a:gd name="T1" fmla="*/ 0 h 59"/>
                              <a:gd name="T2" fmla="*/ 44 w 44"/>
                              <a:gd name="T3" fmla="*/ 59 h 59"/>
                            </a:gdLst>
                            <a:ahLst/>
                            <a:cxnLst>
                              <a:cxn ang="0">
                                <a:pos x="T0" y="T1"/>
                              </a:cxn>
                              <a:cxn ang="0">
                                <a:pos x="T2" y="T3"/>
                              </a:cxn>
                            </a:cxnLst>
                            <a:rect l="0" t="0" r="r" b="b"/>
                            <a:pathLst>
                              <a:path w="44" h="59">
                                <a:moveTo>
                                  <a:pt x="0" y="0"/>
                                </a:moveTo>
                                <a:lnTo>
                                  <a:pt x="44" y="59"/>
                                </a:lnTo>
                              </a:path>
                            </a:pathLst>
                          </a:custGeom>
                          <a:noFill/>
                          <a:ln w="6106"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7" name="曲线 8"/>
                        <wps:cNvSpPr/>
                        <wps:spPr bwMode="auto">
                          <a:xfrm>
                            <a:off x="0" y="0"/>
                            <a:ext cx="1" cy="1"/>
                          </a:xfrm>
                          <a:custGeom>
                            <a:avLst/>
                            <a:gdLst>
                              <a:gd name="T0" fmla="*/ 0 w 44"/>
                              <a:gd name="T1" fmla="*/ 0 h 59"/>
                              <a:gd name="T2" fmla="*/ 44 w 44"/>
                              <a:gd name="T3" fmla="*/ 59 h 59"/>
                            </a:gdLst>
                            <a:ahLst/>
                            <a:cxnLst>
                              <a:cxn ang="0">
                                <a:pos x="T0" y="T1"/>
                              </a:cxn>
                              <a:cxn ang="0">
                                <a:pos x="T2" y="T3"/>
                              </a:cxn>
                            </a:cxnLst>
                            <a:rect l="0" t="0" r="r" b="b"/>
                            <a:pathLst>
                              <a:path w="44" h="59">
                                <a:moveTo>
                                  <a:pt x="0" y="0"/>
                                </a:moveTo>
                                <a:lnTo>
                                  <a:pt x="44" y="59"/>
                                </a:lnTo>
                              </a:path>
                            </a:pathLst>
                          </a:custGeom>
                          <a:noFill/>
                          <a:ln w="6106"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8" name="曲线 9"/>
                        <wps:cNvSpPr/>
                        <wps:spPr bwMode="auto">
                          <a:xfrm>
                            <a:off x="0" y="0"/>
                            <a:ext cx="1" cy="1"/>
                          </a:xfrm>
                          <a:custGeom>
                            <a:avLst/>
                            <a:gdLst>
                              <a:gd name="T0" fmla="*/ 0 w 44"/>
                              <a:gd name="T1" fmla="*/ 0 h 59"/>
                              <a:gd name="T2" fmla="*/ 44 w 44"/>
                              <a:gd name="T3" fmla="*/ 59 h 59"/>
                            </a:gdLst>
                            <a:ahLst/>
                            <a:cxnLst>
                              <a:cxn ang="0">
                                <a:pos x="T0" y="T1"/>
                              </a:cxn>
                              <a:cxn ang="0">
                                <a:pos x="T2" y="T3"/>
                              </a:cxn>
                            </a:cxnLst>
                            <a:rect l="0" t="0" r="r" b="b"/>
                            <a:pathLst>
                              <a:path w="44" h="59">
                                <a:moveTo>
                                  <a:pt x="0" y="0"/>
                                </a:moveTo>
                                <a:lnTo>
                                  <a:pt x="44" y="59"/>
                                </a:lnTo>
                              </a:path>
                            </a:pathLst>
                          </a:custGeom>
                          <a:noFill/>
                          <a:ln w="6106"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9" name="曲线 10"/>
                        <wps:cNvSpPr/>
                        <wps:spPr bwMode="auto">
                          <a:xfrm>
                            <a:off x="0" y="0"/>
                            <a:ext cx="1" cy="1"/>
                          </a:xfrm>
                          <a:custGeom>
                            <a:avLst/>
                            <a:gdLst>
                              <a:gd name="T0" fmla="*/ 0 w 44"/>
                              <a:gd name="T1" fmla="*/ 0 h 59"/>
                              <a:gd name="T2" fmla="*/ 44 w 44"/>
                              <a:gd name="T3" fmla="*/ 59 h 59"/>
                            </a:gdLst>
                            <a:ahLst/>
                            <a:cxnLst>
                              <a:cxn ang="0">
                                <a:pos x="T0" y="T1"/>
                              </a:cxn>
                              <a:cxn ang="0">
                                <a:pos x="T2" y="T3"/>
                              </a:cxn>
                            </a:cxnLst>
                            <a:rect l="0" t="0" r="r" b="b"/>
                            <a:pathLst>
                              <a:path w="44" h="59">
                                <a:moveTo>
                                  <a:pt x="0" y="0"/>
                                </a:moveTo>
                                <a:lnTo>
                                  <a:pt x="44" y="59"/>
                                </a:lnTo>
                              </a:path>
                            </a:pathLst>
                          </a:custGeom>
                          <a:noFill/>
                          <a:ln w="6106"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10" name="曲线 11"/>
                        <wps:cNvSpPr/>
                        <wps:spPr bwMode="auto">
                          <a:xfrm>
                            <a:off x="0" y="0"/>
                            <a:ext cx="1" cy="1"/>
                          </a:xfrm>
                          <a:custGeom>
                            <a:avLst/>
                            <a:gdLst>
                              <a:gd name="T0" fmla="*/ 0 w 44"/>
                              <a:gd name="T1" fmla="*/ 0 h 59"/>
                              <a:gd name="T2" fmla="*/ 44 w 44"/>
                              <a:gd name="T3" fmla="*/ 59 h 59"/>
                            </a:gdLst>
                            <a:ahLst/>
                            <a:cxnLst>
                              <a:cxn ang="0">
                                <a:pos x="T0" y="T1"/>
                              </a:cxn>
                              <a:cxn ang="0">
                                <a:pos x="T2" y="T3"/>
                              </a:cxn>
                            </a:cxnLst>
                            <a:rect l="0" t="0" r="r" b="b"/>
                            <a:pathLst>
                              <a:path w="44" h="59">
                                <a:moveTo>
                                  <a:pt x="0" y="0"/>
                                </a:moveTo>
                                <a:lnTo>
                                  <a:pt x="44" y="59"/>
                                </a:lnTo>
                              </a:path>
                            </a:pathLst>
                          </a:custGeom>
                          <a:noFill/>
                          <a:ln w="6106"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11" name="曲线 12"/>
                        <wps:cNvSpPr/>
                        <wps:spPr bwMode="auto">
                          <a:xfrm>
                            <a:off x="0" y="0"/>
                            <a:ext cx="1" cy="1"/>
                          </a:xfrm>
                          <a:custGeom>
                            <a:avLst/>
                            <a:gdLst>
                              <a:gd name="T0" fmla="*/ 0 w 44"/>
                              <a:gd name="T1" fmla="*/ 0 h 59"/>
                              <a:gd name="T2" fmla="*/ 44 w 44"/>
                              <a:gd name="T3" fmla="*/ 59 h 59"/>
                            </a:gdLst>
                            <a:ahLst/>
                            <a:cxnLst>
                              <a:cxn ang="0">
                                <a:pos x="T0" y="T1"/>
                              </a:cxn>
                              <a:cxn ang="0">
                                <a:pos x="T2" y="T3"/>
                              </a:cxn>
                            </a:cxnLst>
                            <a:rect l="0" t="0" r="r" b="b"/>
                            <a:pathLst>
                              <a:path w="44" h="59">
                                <a:moveTo>
                                  <a:pt x="0" y="0"/>
                                </a:moveTo>
                                <a:lnTo>
                                  <a:pt x="44" y="59"/>
                                </a:lnTo>
                              </a:path>
                            </a:pathLst>
                          </a:custGeom>
                          <a:noFill/>
                          <a:ln w="6106"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12" name="曲线 13"/>
                        <wps:cNvSpPr/>
                        <wps:spPr bwMode="auto">
                          <a:xfrm>
                            <a:off x="0" y="0"/>
                            <a:ext cx="1" cy="1"/>
                          </a:xfrm>
                          <a:custGeom>
                            <a:avLst/>
                            <a:gdLst>
                              <a:gd name="T0" fmla="*/ 0 w 44"/>
                              <a:gd name="T1" fmla="*/ 0 h 59"/>
                              <a:gd name="T2" fmla="*/ 44 w 44"/>
                              <a:gd name="T3" fmla="*/ 59 h 59"/>
                            </a:gdLst>
                            <a:ahLst/>
                            <a:cxnLst>
                              <a:cxn ang="0">
                                <a:pos x="T0" y="T1"/>
                              </a:cxn>
                              <a:cxn ang="0">
                                <a:pos x="T2" y="T3"/>
                              </a:cxn>
                            </a:cxnLst>
                            <a:rect l="0" t="0" r="r" b="b"/>
                            <a:pathLst>
                              <a:path w="44" h="59">
                                <a:moveTo>
                                  <a:pt x="0" y="0"/>
                                </a:moveTo>
                                <a:lnTo>
                                  <a:pt x="44" y="59"/>
                                </a:lnTo>
                              </a:path>
                            </a:pathLst>
                          </a:custGeom>
                          <a:noFill/>
                          <a:ln w="6106"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0pt;margin-top:0pt;height:0pt;width:0pt;mso-position-horizontal-relative:page;mso-position-vertical-relative:page;z-index:-251657216;mso-width-relative:page;mso-height-relative:page;" coordsize="0,0" o:gfxdata="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">
                <o:lock v:ext="edit" aspectratio="f"/>
                <v:shape id="曲线 3" o:spid="_x0000_s1026" o:spt="100" style="position:absolute;left:0;top:0;height:1;width:1;" filled="f" stroked="t" coordsize="44,59" o:gfxdata="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hVBhugAAANoA&#10;AAAPAAAAAAAAAAEAIAAAACIAAABkcnMvZG93bnJldi54bWxQSwECFAAUAAAACACHTuJAMy8FnjsA&#10;AAA5AAAAEAAAAAAAAAABACAAAAAJAQAAZHJzL3NoYXBleG1sLnhtbFBLBQYAAAAABgAGAFsBAACz&#10;AwAAAAA=&#10;" path="m0,0l44,59e">
                  <v:path o:connectlocs="0,0;1,1" o:connectangles="0,0"/>
                  <v:fill on="f" focussize="0,0"/>
                  <v:stroke weight="0.480787401574803pt" color="#000000" joinstyle="round"/>
                  <v:imagedata o:title=""/>
                  <o:lock v:ext="edit" aspectratio="f"/>
                </v:shape>
                <v:shape id="曲线 4" o:spid="_x0000_s1026" o:spt="100" style="position:absolute;left:0;top:0;height:1;width:1;" filled="f" stroked="t" coordsize="44,59" o:gfxdata="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9fq8AAAA&#10;2gAAAA8AAAAAAAAAAQAgAAAAIgAAAGRycy9kb3ducmV2LnhtbFBLAQIUABQAAAAIAIdO4kAzLwWe&#10;OwAAADkAAAAQAAAAAAAAAAEAIAAAAAsBAABkcnMvc2hhcGV4bWwueG1sUEsFBgAAAAAGAAYAWwEA&#10;ALUDAAAAAA==&#10;" path="m0,0l44,59e">
                  <v:path o:connectlocs="0,0;1,1" o:connectangles="0,0"/>
                  <v:fill on="f" focussize="0,0"/>
                  <v:stroke weight="0.480787401574803pt" color="#000000" joinstyle="round"/>
                  <v:imagedata o:title=""/>
                  <o:lock v:ext="edit" aspectratio="f"/>
                </v:shape>
                <v:shape id="曲线 5" o:spid="_x0000_s1026" o:spt="100" style="position:absolute;left:0;top:0;height:1;width:1;" filled="f" stroked="t" coordsize="44,59" o:gfxdata="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IG2OugAAANoA&#10;AAAPAAAAAAAAAAEAIAAAACIAAABkcnMvZG93bnJldi54bWxQSwECFAAUAAAACACHTuJAMy8FnjsA&#10;AAA5AAAAEAAAAAAAAAABACAAAAAJAQAAZHJzL3NoYXBleG1sLnhtbFBLBQYAAAAABgAGAFsBAACz&#10;AwAAAAA=&#10;" path="m0,0l44,59e">
                  <v:path o:connectlocs="0,0;1,1" o:connectangles="0,0"/>
                  <v:fill on="f" focussize="0,0"/>
                  <v:stroke weight="0.480787401574803pt" color="#000000" joinstyle="round"/>
                  <v:imagedata o:title=""/>
                  <o:lock v:ext="edit" aspectratio="f"/>
                </v:shape>
                <v:shape id="曲线 6" o:spid="_x0000_s1026" o:spt="100" style="position:absolute;left:0;top:0;height:1;width:1;" filled="f" stroked="t" coordsize="44,59" o:gfxdata="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syBW8AAAA&#10;2gAAAA8AAAAAAAAAAQAgAAAAIgAAAGRycy9kb3ducmV2LnhtbFBLAQIUABQAAAAIAIdO4kAzLwWe&#10;OwAAADkAAAAQAAAAAAAAAAEAIAAAAAsBAABkcnMvc2hhcGV4bWwueG1sUEsFBgAAAAAGAAYAWwEA&#10;ALUDAAAAAA==&#10;" path="m0,0l44,59e">
                  <v:path o:connectlocs="0,0;1,1" o:connectangles="0,0"/>
                  <v:fill on="f" focussize="0,0"/>
                  <v:stroke weight="0.480787401574803pt" color="#000000" joinstyle="round"/>
                  <v:imagedata o:title=""/>
                  <o:lock v:ext="edit" aspectratio="f"/>
                </v:shape>
                <v:shape id="曲线 7" o:spid="_x0000_s1026" o:spt="100" style="position:absolute;left:0;top:0;height:1;width:1;" filled="f" stroked="t" coordsize="44,59" o:gfxdata="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75WYrsAAADa&#10;AAAADwAAAAAAAAABACAAAAAiAAAAZHJzL2Rvd25yZXYueG1sUEsBAhQAFAAAAAgAh07iQDMvBZ47&#10;AAAAOQAAABAAAAAAAAAAAQAgAAAACgEAAGRycy9zaGFwZXhtbC54bWxQSwUGAAAAAAYABgBbAQAA&#10;tAMAAAAA&#10;" path="m0,0l44,59e">
                  <v:path o:connectlocs="0,0;1,1" o:connectangles="0,0"/>
                  <v:fill on="f" focussize="0,0"/>
                  <v:stroke weight="0.480787401574803pt" color="#000000" joinstyle="round"/>
                  <v:imagedata o:title=""/>
                  <o:lock v:ext="edit" aspectratio="f"/>
                </v:shape>
                <v:shape id="曲线 8" o:spid="_x0000_s1026" o:spt="100" style="position:absolute;left:0;top:0;height:1;width:1;" filled="f" stroked="t" coordsize="44,59" o:gfxdata="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y8/m8AAAA&#10;2gAAAA8AAAAAAAAAAQAgAAAAIgAAAGRycy9kb3ducmV2LnhtbFBLAQIUABQAAAAIAIdO4kAzLwWe&#10;OwAAADkAAAAQAAAAAAAAAAEAIAAAAAsBAABkcnMvc2hhcGV4bWwueG1sUEsFBgAAAAAGAAYAWwEA&#10;ALUDAAAAAA==&#10;" path="m0,0l44,59e">
                  <v:path o:connectlocs="0,0;1,1" o:connectangles="0,0"/>
                  <v:fill on="f" focussize="0,0"/>
                  <v:stroke weight="0.480787401574803pt" color="#000000" joinstyle="round"/>
                  <v:imagedata o:title=""/>
                  <o:lock v:ext="edit" aspectratio="f"/>
                </v:shape>
                <v:shape id="曲线 9" o:spid="_x0000_s1026" o:spt="100" style="position:absolute;left:0;top:0;height:1;width:1;" filled="f" stroked="t" coordsize="44,59" o:gfxdata="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8W1ni7UAAADaAAAADwAA&#10;AAAAAAABACAAAAAiAAAAZHJzL2Rvd25yZXYueG1sUEsBAhQAFAAAAAgAh07iQDMvBZ47AAAAOQAA&#10;ABAAAAAAAAAAAQAgAAAABAEAAGRycy9zaGFwZXhtbC54bWxQSwUGAAAAAAYABgBbAQAArgMAAAAA&#10;" path="m0,0l44,59e">
                  <v:path o:connectlocs="0,0;1,1" o:connectangles="0,0"/>
                  <v:fill on="f" focussize="0,0"/>
                  <v:stroke weight="0.480787401574803pt" color="#000000" joinstyle="round"/>
                  <v:imagedata o:title=""/>
                  <o:lock v:ext="edit" aspectratio="f"/>
                </v:shape>
                <v:shape id="曲线 10" o:spid="_x0000_s1026" o:spt="100" style="position:absolute;left:0;top:0;height:1;width:1;" filled="f" stroked="t" coordsize="44,59" o:gfxdata="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IcIQugAAANoA&#10;AAAPAAAAAAAAAAEAIAAAACIAAABkcnMvZG93bnJldi54bWxQSwECFAAUAAAACACHTuJAMy8FnjsA&#10;AAA5AAAAEAAAAAAAAAABACAAAAAJAQAAZHJzL3NoYXBleG1sLnhtbFBLBQYAAAAABgAGAFsBAACz&#10;AwAAAAA=&#10;" path="m0,0l44,59e">
                  <v:path o:connectlocs="0,0;1,1" o:connectangles="0,0"/>
                  <v:fill on="f" focussize="0,0"/>
                  <v:stroke weight="0.480787401574803pt" color="#000000" joinstyle="round"/>
                  <v:imagedata o:title=""/>
                  <o:lock v:ext="edit" aspectratio="f"/>
                </v:shape>
                <v:shape id="曲线 11" o:spid="_x0000_s1026" o:spt="100" style="position:absolute;left:0;top:0;height:1;width:1;" filled="f" stroked="t" coordsize="44,59" o:gfxdata="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3n8+8AAAA&#10;2wAAAA8AAAAAAAAAAQAgAAAAIgAAAGRycy9kb3ducmV2LnhtbFBLAQIUABQAAAAIAIdO4kAzLwWe&#10;OwAAADkAAAAQAAAAAAAAAAEAIAAAAAsBAABkcnMvc2hhcGV4bWwueG1sUEsFBgAAAAAGAAYAWwEA&#10;ALUDAAAAAA==&#10;" path="m0,0l44,59e">
                  <v:path o:connectlocs="0,0;1,1" o:connectangles="0,0"/>
                  <v:fill on="f" focussize="0,0"/>
                  <v:stroke weight="0.480787401574803pt" color="#000000" joinstyle="round"/>
                  <v:imagedata o:title=""/>
                  <o:lock v:ext="edit" aspectratio="f"/>
                </v:shape>
                <v:shape id="曲线 12" o:spid="_x0000_s1026" o:spt="100" style="position:absolute;left:0;top:0;height:1;width:1;" filled="f" stroked="t" coordsize="44,59" o:gfxdata="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3s6VLgAAADbAAAA&#10;DwAAAAAAAAABACAAAAAiAAAAZHJzL2Rvd25yZXYueG1sUEsBAhQAFAAAAAgAh07iQDMvBZ47AAAA&#10;OQAAABAAAAAAAAAAAQAgAAAABwEAAGRycy9zaGFwZXhtbC54bWxQSwUGAAAAAAYABgBbAQAAsQMA&#10;AAAA&#10;" path="m0,0l44,59e">
                  <v:path o:connectlocs="0,0;1,1" o:connectangles="0,0"/>
                  <v:fill on="f" focussize="0,0"/>
                  <v:stroke weight="0.480787401574803pt" color="#000000" joinstyle="round"/>
                  <v:imagedata o:title=""/>
                  <o:lock v:ext="edit" aspectratio="f"/>
                </v:shape>
                <v:shape id="曲线 13" o:spid="_x0000_s1026" o:spt="100" style="position:absolute;left:0;top:0;height:1;width:1;" filled="f" stroked="t" coordsize="44,59" o:gfxdata="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6mkI7gAAADbAAAA&#10;DwAAAAAAAAABACAAAAAiAAAAZHJzL2Rvd25yZXYueG1sUEsBAhQAFAAAAAgAh07iQDMvBZ47AAAA&#10;OQAAABAAAAAAAAAAAQAgAAAABwEAAGRycy9zaGFwZXhtbC54bWxQSwUGAAAAAAYABgBbAQAAsQMA&#10;AAAA&#10;" path="m0,0l44,59e">
                  <v:path o:connectlocs="0,0;1,1" o:connectangles="0,0"/>
                  <v:fill on="f" focussize="0,0"/>
                  <v:stroke weight="0.480787401574803pt" color="#000000" joinstyle="round"/>
                  <v:imagedata o:title=""/>
                  <o:lock v:ext="edit" aspectratio="f"/>
                </v:shape>
              </v:group>
            </w:pict>
          </mc:Fallback>
        </mc:AlternateContent>
      </w:r>
      <w:r>
        <w:rPr>
          <w:rStyle w:val="14"/>
          <w:rFonts w:hint="eastAsia"/>
          <w:b/>
          <w:bCs/>
        </w:rPr>
        <w:t>１、信息系统预定级情况汇总表</w:t>
      </w:r>
      <w:bookmarkEnd w:id="0"/>
    </w:p>
    <w:p>
      <w:pPr>
        <w:ind w:firstLine="640"/>
      </w:pPr>
    </w:p>
    <w:tbl>
      <w:tblPr>
        <w:tblStyle w:val="10"/>
        <w:tblW w:w="85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8"/>
        <w:gridCol w:w="4512"/>
        <w:gridCol w:w="2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788" w:type="dxa"/>
            <w:vAlign w:val="center"/>
          </w:tcPr>
          <w:p>
            <w:pPr>
              <w:autoSpaceDE w:val="0"/>
              <w:autoSpaceDN w:val="0"/>
              <w:adjustRightInd w:val="0"/>
              <w:spacing w:line="360" w:lineRule="auto"/>
              <w:ind w:firstLine="0" w:firstLineChars="0"/>
              <w:jc w:val="center"/>
              <w:rPr>
                <w:rFonts w:ascii="仿宋" w:hAnsi="Times New Roman" w:cs="MingLiU"/>
                <w:b/>
                <w:color w:val="000000"/>
                <w:kern w:val="0"/>
                <w:szCs w:val="32"/>
              </w:rPr>
            </w:pPr>
            <w:r>
              <w:rPr>
                <w:rFonts w:hint="eastAsia" w:ascii="仿宋" w:hAnsi="Times New Roman" w:cs="MingLiU"/>
                <w:b/>
                <w:color w:val="000000"/>
                <w:kern w:val="0"/>
                <w:szCs w:val="32"/>
              </w:rPr>
              <w:t>系统编号</w:t>
            </w:r>
          </w:p>
        </w:tc>
        <w:tc>
          <w:tcPr>
            <w:tcW w:w="4512" w:type="dxa"/>
            <w:vAlign w:val="center"/>
          </w:tcPr>
          <w:p>
            <w:pPr>
              <w:autoSpaceDE w:val="0"/>
              <w:autoSpaceDN w:val="0"/>
              <w:adjustRightInd w:val="0"/>
              <w:spacing w:line="360" w:lineRule="auto"/>
              <w:ind w:firstLine="199" w:firstLineChars="62"/>
              <w:jc w:val="center"/>
              <w:rPr>
                <w:rFonts w:ascii="仿宋" w:hAnsi="Times New Roman" w:cs="MingLiU"/>
                <w:b/>
                <w:color w:val="000000"/>
                <w:kern w:val="0"/>
                <w:szCs w:val="32"/>
              </w:rPr>
            </w:pPr>
            <w:r>
              <w:rPr>
                <w:rFonts w:hint="eastAsia" w:ascii="仿宋" w:hAnsi="Times New Roman" w:cs="MingLiU"/>
                <w:b/>
                <w:color w:val="000000"/>
                <w:kern w:val="0"/>
                <w:szCs w:val="32"/>
              </w:rPr>
              <w:t>信息系统名称</w:t>
            </w:r>
          </w:p>
        </w:tc>
        <w:tc>
          <w:tcPr>
            <w:tcW w:w="2208" w:type="dxa"/>
            <w:vAlign w:val="center"/>
          </w:tcPr>
          <w:p>
            <w:pPr>
              <w:autoSpaceDE w:val="0"/>
              <w:autoSpaceDN w:val="0"/>
              <w:adjustRightInd w:val="0"/>
              <w:spacing w:line="360" w:lineRule="auto"/>
              <w:ind w:firstLine="0" w:firstLineChars="0"/>
              <w:jc w:val="center"/>
              <w:rPr>
                <w:rFonts w:ascii="仿宋" w:hAnsi="Times New Roman" w:cs="MingLiU"/>
                <w:b/>
                <w:color w:val="000000"/>
                <w:kern w:val="0"/>
                <w:szCs w:val="32"/>
              </w:rPr>
            </w:pPr>
            <w:r>
              <w:rPr>
                <w:rFonts w:hint="eastAsia" w:ascii="仿宋" w:hAnsi="Times New Roman" w:cs="MingLiU"/>
                <w:b/>
                <w:color w:val="000000"/>
                <w:kern w:val="0"/>
                <w:szCs w:val="32"/>
              </w:rPr>
              <w:t>预定等级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788" w:type="dxa"/>
            <w:vAlign w:val="center"/>
          </w:tcPr>
          <w:p>
            <w:pPr>
              <w:autoSpaceDE w:val="0"/>
              <w:autoSpaceDN w:val="0"/>
              <w:adjustRightInd w:val="0"/>
              <w:spacing w:line="360" w:lineRule="auto"/>
              <w:ind w:firstLine="198" w:firstLineChars="62"/>
              <w:jc w:val="center"/>
              <w:rPr>
                <w:rFonts w:ascii="仿宋" w:hAnsi="Times New Roman" w:cs="MingLiU"/>
                <w:color w:val="000000"/>
                <w:kern w:val="0"/>
                <w:szCs w:val="32"/>
              </w:rPr>
            </w:pPr>
            <w:r>
              <w:rPr>
                <w:rFonts w:hint="eastAsia" w:ascii="仿宋" w:hAnsi="Times New Roman" w:cs="MingLiU"/>
                <w:color w:val="000000"/>
                <w:kern w:val="0"/>
                <w:szCs w:val="32"/>
              </w:rPr>
              <w:t>0001</w:t>
            </w:r>
          </w:p>
        </w:tc>
        <w:tc>
          <w:tcPr>
            <w:tcW w:w="4512" w:type="dxa"/>
            <w:vAlign w:val="center"/>
          </w:tcPr>
          <w:p>
            <w:pPr>
              <w:autoSpaceDE w:val="0"/>
              <w:autoSpaceDN w:val="0"/>
              <w:adjustRightInd w:val="0"/>
              <w:spacing w:line="360" w:lineRule="auto"/>
              <w:ind w:firstLine="0" w:firstLineChars="0"/>
              <w:jc w:val="center"/>
              <w:rPr>
                <w:rFonts w:ascii="仿宋" w:hAnsi="Times New Roman" w:cs="MingLiU"/>
                <w:color w:val="000000"/>
                <w:kern w:val="0"/>
                <w:szCs w:val="32"/>
              </w:rPr>
            </w:pPr>
            <w:r>
              <w:rPr>
                <w:rFonts w:hint="eastAsia" w:ascii="仿宋" w:hAnsi="Times New Roman" w:cs="Times New Roman"/>
                <w:szCs w:val="32"/>
              </w:rPr>
              <w:t>广西粮食信息综合监管平台</w:t>
            </w:r>
          </w:p>
        </w:tc>
        <w:tc>
          <w:tcPr>
            <w:tcW w:w="2208" w:type="dxa"/>
            <w:vAlign w:val="center"/>
          </w:tcPr>
          <w:p>
            <w:pPr>
              <w:autoSpaceDE w:val="0"/>
              <w:autoSpaceDN w:val="0"/>
              <w:adjustRightInd w:val="0"/>
              <w:spacing w:line="360" w:lineRule="auto"/>
              <w:ind w:firstLine="198" w:firstLineChars="62"/>
              <w:jc w:val="center"/>
              <w:rPr>
                <w:rFonts w:ascii="仿宋" w:hAnsi="Times New Roman" w:cs="MingLiU"/>
                <w:color w:val="000000"/>
                <w:kern w:val="0"/>
                <w:szCs w:val="32"/>
              </w:rPr>
            </w:pPr>
            <w:r>
              <w:rPr>
                <w:rFonts w:hint="eastAsia" w:ascii="仿宋" w:hAnsi="Times New Roman" w:cs="MingLiU"/>
                <w:color w:val="000000"/>
                <w:kern w:val="0"/>
                <w:szCs w:val="32"/>
              </w:rPr>
              <w:t>三</w:t>
            </w:r>
          </w:p>
        </w:tc>
      </w:tr>
    </w:tbl>
    <w:p>
      <w:pPr>
        <w:ind w:firstLine="640"/>
      </w:pPr>
    </w:p>
    <w:p>
      <w:pPr>
        <w:pStyle w:val="2"/>
      </w:pPr>
      <w:bookmarkStart w:id="1" w:name="_Toc29492"/>
      <w:r>
        <w:rPr>
          <w:rFonts w:hint="eastAsia"/>
        </w:rPr>
        <w:t>２、信息系统建设（设计）方案</w:t>
      </w:r>
      <w:bookmarkEnd w:id="1"/>
    </w:p>
    <w:p>
      <w:pPr>
        <w:pStyle w:val="3"/>
      </w:pPr>
      <w:bookmarkStart w:id="2" w:name="_Toc23660"/>
      <w:r>
        <w:rPr>
          <w:rFonts w:hint="eastAsia"/>
        </w:rPr>
        <w:t>2.1  项目建设单位基本情况</w:t>
      </w:r>
      <w:bookmarkEnd w:id="2"/>
    </w:p>
    <w:p>
      <w:pPr>
        <w:pStyle w:val="4"/>
      </w:pPr>
      <w:bookmarkStart w:id="3" w:name="_Toc22602"/>
      <w:r>
        <w:rPr>
          <w:rFonts w:hint="eastAsia"/>
        </w:rPr>
        <w:t>2.1.1项目建设单位</w:t>
      </w:r>
      <w:bookmarkEnd w:id="3"/>
    </w:p>
    <w:p>
      <w:pPr>
        <w:ind w:firstLine="640"/>
      </w:pPr>
      <w:r>
        <w:rPr>
          <w:rFonts w:hint="eastAsia"/>
        </w:rPr>
        <w:t>项目建设单位：广西壮族自治区粮食和物资储备局</w:t>
      </w:r>
    </w:p>
    <w:p>
      <w:pPr>
        <w:pStyle w:val="4"/>
      </w:pPr>
      <w:bookmarkStart w:id="4" w:name="_Toc26061"/>
      <w:r>
        <w:rPr>
          <w:rFonts w:hint="eastAsia"/>
        </w:rPr>
        <w:t>2.1.2项目建设单位职能</w:t>
      </w:r>
      <w:bookmarkEnd w:id="4"/>
    </w:p>
    <w:p>
      <w:pPr>
        <w:ind w:firstLine="640"/>
      </w:pPr>
      <w:r>
        <w:rPr>
          <w:rFonts w:hint="eastAsia"/>
        </w:rPr>
        <w:t>广西壮族自治区粮食和物资储备局主要职责如下：</w:t>
      </w:r>
    </w:p>
    <w:p>
      <w:pPr>
        <w:ind w:firstLine="640"/>
      </w:pPr>
      <w:r>
        <w:rPr>
          <w:rFonts w:hint="eastAsia"/>
        </w:rPr>
        <w:t xml:space="preserve">（1）贯彻执行中央、自治区有关粮食工作的方针、政策，研究拟订广西粮食工作的各项政策、措施。 </w:t>
      </w:r>
    </w:p>
    <w:p>
      <w:pPr>
        <w:ind w:firstLine="640"/>
      </w:pPr>
      <w:r>
        <w:rPr>
          <w:rFonts w:hint="eastAsia"/>
        </w:rPr>
        <w:t>（2）负责研究提出全区粮食宏观调控、总量平衡以及粮食流通的总体方案和中长期规划，提出收储、轮换、动用自治区储备粮的建议。</w:t>
      </w:r>
    </w:p>
    <w:p>
      <w:pPr>
        <w:ind w:firstLine="640"/>
      </w:pPr>
      <w:r>
        <w:rPr>
          <w:rFonts w:hint="eastAsia"/>
        </w:rPr>
        <w:t>（3）指导和协调全区各地粮食仓储建设、维修改造及监督；指导全区各地粮食储藏和农村粮食储藏工作，组织和协调国家粮食定购任务的落实，管理粮食财务。</w:t>
      </w:r>
    </w:p>
    <w:p>
      <w:pPr>
        <w:ind w:firstLine="640"/>
      </w:pPr>
      <w:r>
        <w:rPr>
          <w:rFonts w:hint="eastAsia"/>
        </w:rPr>
        <w:t>（4）负责省间地(市)间计划内的粮食调拨、运输管理工作，保障城镇居民和军队粮食供给，指导和帮助灾区、库区和缺粮地区的粮食供应，安排以工代赈和国家重点建设项目的粮食供应。</w:t>
      </w:r>
    </w:p>
    <w:p>
      <w:pPr>
        <w:ind w:firstLine="640"/>
      </w:pPr>
      <w:r>
        <w:rPr>
          <w:rFonts w:hint="eastAsia"/>
        </w:rPr>
        <w:t>（5）拟订全区粮食流通体制改革方案，经批准后负责组织实施；负责提出全区粮食流通和自治区储备粮管理的建议；根据自治区人民政府委托，起草有关粮食流通和自治区粮食管理的地方性法规、规章和规范性文件草案，并监督执行；编制全区粮食流通及仓储、加工设施的建设和维修改造计划，按国家规定的基本建设程序和管理权限报批；提出粮食定购价格、收购保护价和销售限价以及储备粮油、进出口粮油等价格的原则。</w:t>
      </w:r>
    </w:p>
    <w:p>
      <w:pPr>
        <w:ind w:firstLine="640"/>
      </w:pPr>
      <w:r>
        <w:rPr>
          <w:rFonts w:hint="eastAsia"/>
        </w:rPr>
        <w:t xml:space="preserve">（6）指导全区粮食流通的行业管理和全区行业职工教育培训；指导并推动全行业的技术改造和新技术推广，承担行业统计。 </w:t>
      </w:r>
    </w:p>
    <w:p>
      <w:pPr>
        <w:ind w:firstLine="640"/>
      </w:pPr>
      <w:r>
        <w:rPr>
          <w:rFonts w:hint="eastAsia"/>
        </w:rPr>
        <w:t>（7）制定自治区储备粮管理的技术规范，并监督执行；研究提出自治区储备粮的规模、总体布局和收购、销售、进出口计划，并负责监督实施；监督检查自治区储备粮的库存、质量和安全。</w:t>
      </w:r>
    </w:p>
    <w:p>
      <w:pPr>
        <w:ind w:firstLine="640"/>
      </w:pPr>
      <w:r>
        <w:rPr>
          <w:rFonts w:hint="eastAsia"/>
        </w:rPr>
        <w:t xml:space="preserve">（8）负责管理协调局机关及直属单位人事、劳资、教育工作。 </w:t>
      </w:r>
    </w:p>
    <w:p>
      <w:pPr>
        <w:ind w:firstLine="640"/>
      </w:pPr>
      <w:r>
        <w:rPr>
          <w:rFonts w:hint="eastAsia"/>
        </w:rPr>
        <w:t xml:space="preserve">（9）协同自治区质量技术监督局做好粮食质量标准的管理工作，制定粮食储存、运输的技术规范并监督执行；协同自治区工商行政管理局对粮油市场的监督管理工作。 </w:t>
      </w:r>
    </w:p>
    <w:p>
      <w:pPr>
        <w:ind w:firstLine="640"/>
      </w:pPr>
      <w:r>
        <w:rPr>
          <w:rFonts w:hint="eastAsia"/>
        </w:rPr>
        <w:t>（10）承担自治区人民政府交办的其他事项。</w:t>
      </w:r>
    </w:p>
    <w:p>
      <w:pPr>
        <w:pStyle w:val="3"/>
      </w:pPr>
      <w:bookmarkStart w:id="5" w:name="_Toc733"/>
      <w:r>
        <w:rPr>
          <w:rFonts w:hint="eastAsia"/>
        </w:rPr>
        <w:t>2.2建设目标、规模与内容</w:t>
      </w:r>
      <w:bookmarkEnd w:id="5"/>
    </w:p>
    <w:p>
      <w:pPr>
        <w:pStyle w:val="4"/>
      </w:pPr>
      <w:bookmarkStart w:id="6" w:name="_Toc16406"/>
      <w:r>
        <w:rPr>
          <w:rFonts w:hint="eastAsia"/>
        </w:rPr>
        <w:t>2.2.1建设目标</w:t>
      </w:r>
      <w:bookmarkEnd w:id="6"/>
    </w:p>
    <w:p>
      <w:pPr>
        <w:ind w:firstLine="0" w:firstLineChars="0"/>
      </w:pPr>
      <w:r>
        <w:rPr>
          <w:rFonts w:hint="eastAsia"/>
          <w:b/>
        </w:rPr>
        <w:t xml:space="preserve">    </w:t>
      </w:r>
      <w:r>
        <w:rPr>
          <w:rFonts w:hint="eastAsia"/>
        </w:rPr>
        <w:t>根据国粮局相关政策要求，在自治区粮食行政管理已有信息化资源的基础上，按照信息安全等级保护的要求，依托自治区政府电子政务外网资源，建成上连国家粮食和物资储备局、下连各市县粮食和物资储备局、与基层粮库互联互通的自治区粮食系统网络，搭建自治区粮食云数据中心，开发区级粮食信息综合监管平台、粮库智能化管理系统、重点联系批发市场管理系统、重点粮食加工企业管理系统和粮食应急配送中心信息管理系统等粮食业务应用系统，制定和完善相关标准规范，编制粮库智能化升级改造建设标准，建设信息安全保障体系和运维管理体系，解决粮库经营管理粗放、运行效率低下、业务协同能力不足、信息流转不畅、监管存在漏洞等问题，通过信息采集、汇总、分析和利用，实现企业经营管理信息化、储备粮管理数字化、工作终端多样化、数据采集可视化，为粮食行政管理、社会服务、宏观调控、应急保障、粮食收购等提供信息支持，提高粮油仓储管理水平和粮食宏观调控能力，确保储粮安全。</w:t>
      </w:r>
    </w:p>
    <w:p>
      <w:pPr>
        <w:pStyle w:val="4"/>
      </w:pPr>
      <w:bookmarkStart w:id="7" w:name="_Toc23454"/>
      <w:r>
        <w:rPr>
          <w:rFonts w:hint="eastAsia"/>
        </w:rPr>
        <w:t>2.2.2建设规模</w:t>
      </w:r>
      <w:bookmarkEnd w:id="7"/>
    </w:p>
    <w:p>
      <w:pPr>
        <w:ind w:firstLine="640"/>
      </w:pPr>
      <w:r>
        <w:rPr>
          <w:rFonts w:hint="eastAsia"/>
        </w:rPr>
        <w:t>（1）新建1个自治区级数据中心，同时改造约60平方米的中心机房。</w:t>
      </w:r>
    </w:p>
    <w:p>
      <w:pPr>
        <w:ind w:firstLine="640"/>
      </w:pPr>
      <w:r>
        <w:rPr>
          <w:rFonts w:hint="eastAsia"/>
        </w:rPr>
        <w:t>（2）新建1套覆盖14个地市粮食局和部分粮库的指挥中心与视频监控系统，自治区粮食局新增2套大屏高清显示系统。</w:t>
      </w:r>
    </w:p>
    <w:p>
      <w:pPr>
        <w:ind w:firstLine="640"/>
      </w:pPr>
      <w:r>
        <w:rPr>
          <w:rFonts w:hint="eastAsia"/>
        </w:rPr>
        <w:t>（3）新建1张覆盖自治区和84个粮库的网络，自治区节点传输链路带宽100Mbps，粮库上连传输带宽50Mbps。</w:t>
      </w:r>
    </w:p>
    <w:p>
      <w:pPr>
        <w:ind w:firstLine="640"/>
      </w:pPr>
      <w:r>
        <w:rPr>
          <w:rFonts w:hint="eastAsia"/>
        </w:rPr>
        <w:t>（4）自治区粮食和物资储备局存储容量新增55 TB，满足未来五年内数据存储需求。</w:t>
      </w:r>
    </w:p>
    <w:p>
      <w:pPr>
        <w:pStyle w:val="4"/>
      </w:pPr>
      <w:bookmarkStart w:id="8" w:name="_Toc7708"/>
      <w:r>
        <w:rPr>
          <w:rFonts w:hint="eastAsia"/>
        </w:rPr>
        <w:t>2.2.3建设内容</w:t>
      </w:r>
      <w:bookmarkEnd w:id="8"/>
    </w:p>
    <w:p>
      <w:pPr>
        <w:ind w:firstLine="640"/>
      </w:pPr>
      <w:r>
        <w:rPr>
          <w:rFonts w:hint="eastAsia"/>
        </w:rPr>
        <w:t>本项目建设内容主要包括建立1套标准规范体系、建设1个数据中心、1张网、建设1个区级粮食云平台、4套应用系统、部署完善1个安全系统、建设1套指挥中心与视频监控系统、建设1套运行维护系统，具体为：</w:t>
      </w:r>
    </w:p>
    <w:p>
      <w:pPr>
        <w:ind w:firstLine="640"/>
      </w:pPr>
      <w:r>
        <w:rPr>
          <w:rFonts w:hint="eastAsia"/>
        </w:rPr>
        <w:t>（1）广西粮食仓储设施智能化升级改造建设标准规范体系</w:t>
      </w:r>
    </w:p>
    <w:p>
      <w:pPr>
        <w:ind w:firstLine="640"/>
      </w:pPr>
      <w:r>
        <w:rPr>
          <w:rFonts w:hint="eastAsia"/>
        </w:rPr>
        <w:t>主要是示范库建设标准、高级库建设标准、标准库建设标准以及相应的建设规范。</w:t>
      </w:r>
    </w:p>
    <w:p>
      <w:pPr>
        <w:ind w:firstLine="640"/>
      </w:pPr>
      <w:r>
        <w:rPr>
          <w:rFonts w:hint="eastAsia"/>
        </w:rPr>
        <w:t>（2）区级粮食信息综合监管平台数据中心</w:t>
      </w:r>
    </w:p>
    <w:p>
      <w:pPr>
        <w:ind w:firstLine="640"/>
      </w:pPr>
      <w:r>
        <w:rPr>
          <w:rFonts w:hint="eastAsia"/>
        </w:rPr>
        <w:t>围绕粮食购、销、调、存、加、监测预警、应急、人事管理等业务环节和监管等需求，实现全区粮食行业信息资源的统一管理，实现数据的深度挖掘、清洗加工、多维分析能力，实现粮食数据资源的汇聚和共享。</w:t>
      </w:r>
    </w:p>
    <w:p>
      <w:pPr>
        <w:ind w:firstLine="640"/>
      </w:pPr>
      <w:r>
        <w:rPr>
          <w:rFonts w:hint="eastAsia"/>
        </w:rPr>
        <w:t>（3）自治区粮食和物资储备局网络系统</w:t>
      </w:r>
    </w:p>
    <w:p>
      <w:pPr>
        <w:ind w:firstLine="640"/>
      </w:pPr>
      <w:r>
        <w:rPr>
          <w:rFonts w:hint="eastAsia"/>
        </w:rPr>
        <w:t>依托广西电子政务外网和互联网，实现自治区粮食和物资局与各市、县粮食和物资储备局、基层粮库的互联互通。</w:t>
      </w:r>
    </w:p>
    <w:p>
      <w:pPr>
        <w:ind w:firstLine="640"/>
      </w:pPr>
      <w:r>
        <w:rPr>
          <w:rFonts w:hint="eastAsia"/>
        </w:rPr>
        <w:t>（4）区级粮食云平台</w:t>
      </w:r>
    </w:p>
    <w:p>
      <w:pPr>
        <w:ind w:firstLine="640"/>
      </w:pPr>
      <w:r>
        <w:rPr>
          <w:rFonts w:hint="eastAsia"/>
        </w:rPr>
        <w:t>包括基础设施云IaaS、应用平台云PaaS、大数据云DaaS，三朵云统一管理，有机结合，形成统一展现、统一管理的广西粮食云平台，对外表现为一朵云的形态。通过服务管理能力，实现粮库系统数据、区平台数据及国家平台数据的互联互通。</w:t>
      </w:r>
    </w:p>
    <w:p>
      <w:pPr>
        <w:ind w:firstLine="640"/>
      </w:pPr>
      <w:r>
        <w:rPr>
          <w:rFonts w:hint="eastAsia"/>
        </w:rPr>
        <w:t>（5）广西粮食信息综合监管平台</w:t>
      </w:r>
    </w:p>
    <w:p>
      <w:pPr>
        <w:ind w:firstLine="640"/>
      </w:pPr>
      <w:r>
        <w:rPr>
          <w:rFonts w:hint="eastAsia"/>
        </w:rPr>
        <w:t>广西粮食信息综合监管平台主要面向粮食行政及相关管理部门、各类涉粮企事业单位和社会公众，通过公共网络或专用网络，进行粮食信息采集、汇总、分析和利用。</w:t>
      </w:r>
    </w:p>
    <w:p>
      <w:pPr>
        <w:ind w:firstLine="640"/>
      </w:pPr>
      <w:r>
        <w:rPr>
          <w:rFonts w:hint="eastAsia"/>
        </w:rPr>
        <w:t>区级平台建设内容，主要体现为粮食数据中心、云计算平台、GIS服务中心、调度监控中心等支撑项；行政管理、业务管理、宏观调控、社会服务以及特殊业务管理等业务项。</w:t>
      </w:r>
    </w:p>
    <w:p>
      <w:pPr>
        <w:ind w:firstLine="640"/>
      </w:pPr>
      <w:r>
        <w:rPr>
          <w:rFonts w:hint="eastAsia"/>
        </w:rPr>
        <w:t>（6）粮库智能化管理系统</w:t>
      </w:r>
    </w:p>
    <w:p>
      <w:pPr>
        <w:ind w:firstLine="640"/>
      </w:pPr>
      <w:r>
        <w:rPr>
          <w:rFonts w:hint="eastAsia"/>
        </w:rPr>
        <w:t>实现粮库统一操作平台、统一规范化管理，并在规范化管理的同时结合各个粮库实际情况设计符合实际特色的仓储业务管理系统。</w:t>
      </w:r>
    </w:p>
    <w:p>
      <w:pPr>
        <w:ind w:firstLine="640"/>
      </w:pPr>
      <w:r>
        <w:rPr>
          <w:rFonts w:hint="eastAsia"/>
        </w:rPr>
        <w:t>（7）重点联系批发市场管理系统</w:t>
      </w:r>
    </w:p>
    <w:p>
      <w:pPr>
        <w:ind w:firstLine="640"/>
      </w:pPr>
      <w:r>
        <w:rPr>
          <w:rFonts w:hint="eastAsia"/>
        </w:rPr>
        <w:t>主要是实现涵盖供求信息、电子黄页、用户管理、后台管理、商家店铺管理、客商即时通讯、在线交易系统、订单管理、物流监控、数据分析的应用系统。</w:t>
      </w:r>
    </w:p>
    <w:p>
      <w:pPr>
        <w:ind w:firstLine="640"/>
      </w:pPr>
      <w:r>
        <w:rPr>
          <w:rFonts w:hint="eastAsia"/>
        </w:rPr>
        <w:t>（8）重点粮食加工企业管理系统</w:t>
      </w:r>
    </w:p>
    <w:p>
      <w:pPr>
        <w:ind w:firstLine="640"/>
      </w:pPr>
      <w:r>
        <w:rPr>
          <w:rFonts w:hint="eastAsia"/>
        </w:rPr>
        <w:t>主要实现粮食在重点加工企业环节的质量安全追溯，建立包括自治区粮食和物资储备局和下属单位、粮库、涉粮企业各个环节闭环的质量追溯体系。</w:t>
      </w:r>
    </w:p>
    <w:p>
      <w:pPr>
        <w:ind w:firstLine="640"/>
      </w:pPr>
      <w:r>
        <w:rPr>
          <w:rFonts w:hint="eastAsia"/>
        </w:rPr>
        <w:t>（9）粮食应急配送中心信息管理系统</w:t>
      </w:r>
    </w:p>
    <w:p>
      <w:pPr>
        <w:ind w:firstLine="640"/>
      </w:pPr>
      <w:r>
        <w:rPr>
          <w:rFonts w:hint="eastAsia"/>
        </w:rPr>
        <w:t>通过GIS技术及道路规划算法，结合应急的实际状况。</w:t>
      </w:r>
    </w:p>
    <w:p>
      <w:pPr>
        <w:ind w:firstLine="640"/>
      </w:pPr>
      <w:r>
        <w:rPr>
          <w:rFonts w:hint="eastAsia"/>
        </w:rPr>
        <w:t>（10）接口管理系统</w:t>
      </w:r>
    </w:p>
    <w:p>
      <w:pPr>
        <w:ind w:firstLine="640"/>
      </w:pPr>
      <w:r>
        <w:rPr>
          <w:rFonts w:hint="eastAsia"/>
        </w:rPr>
        <w:t>与国家粮食和物资储备局等已有信息系统对接；与自治区粮食和物资局现有业务管理系统对接；与粮库现有业务管理系统对接。</w:t>
      </w:r>
    </w:p>
    <w:p>
      <w:pPr>
        <w:ind w:firstLine="640"/>
      </w:pPr>
      <w:r>
        <w:rPr>
          <w:rFonts w:hint="eastAsia"/>
        </w:rPr>
        <w:t>（11）配套建设安全防护体系</w:t>
      </w:r>
    </w:p>
    <w:p>
      <w:pPr>
        <w:ind w:firstLine="640"/>
      </w:pPr>
      <w:r>
        <w:rPr>
          <w:rFonts w:hint="eastAsia"/>
        </w:rPr>
        <w:t>安全系统按照信息系统安全等级保护第三级的要求进行建设。</w:t>
      </w:r>
    </w:p>
    <w:p>
      <w:pPr>
        <w:ind w:firstLine="640"/>
      </w:pPr>
      <w:r>
        <w:rPr>
          <w:rFonts w:hint="eastAsia"/>
        </w:rPr>
        <w:t>（12）指挥中心与视频监控系统</w:t>
      </w:r>
    </w:p>
    <w:p>
      <w:pPr>
        <w:ind w:firstLine="640"/>
      </w:pPr>
      <w:r>
        <w:rPr>
          <w:rFonts w:hint="eastAsia"/>
        </w:rPr>
        <w:t>建设1套覆盖14个地市粮食和物资储备局和部分粮库的指挥中心与视频监控系统；在自治区粮食局建设2套大屏显示系统。</w:t>
      </w:r>
    </w:p>
    <w:p>
      <w:pPr>
        <w:ind w:firstLine="640"/>
      </w:pPr>
      <w:r>
        <w:rPr>
          <w:rFonts w:hint="eastAsia"/>
        </w:rPr>
        <w:t>（13）自治区级IT运行维护系统</w:t>
      </w:r>
    </w:p>
    <w:p>
      <w:pPr>
        <w:ind w:firstLine="640"/>
      </w:pPr>
      <w:r>
        <w:rPr>
          <w:rFonts w:hint="eastAsia"/>
        </w:rPr>
        <w:t>主要包括资源监控系统、机房3D可视化管理、自动化运维工具、IT运维流程管理系统、运维数据统计分析功能以及综合门户及大屏呈现等建设内容。</w:t>
      </w:r>
    </w:p>
    <w:p>
      <w:pPr>
        <w:pStyle w:val="2"/>
      </w:pPr>
      <w:bookmarkStart w:id="9" w:name="_Toc11093"/>
      <w:r>
        <w:rPr>
          <w:rFonts w:hint="eastAsia"/>
        </w:rPr>
        <w:t>３、信息系统安全等级保护预定级报告</w:t>
      </w:r>
      <w:bookmarkEnd w:id="9"/>
    </w:p>
    <w:p>
      <w:pPr>
        <w:spacing w:before="100" w:beforeAutospacing="1" w:line="360" w:lineRule="auto"/>
        <w:ind w:firstLine="640"/>
        <w:jc w:val="center"/>
        <w:rPr>
          <w:rFonts w:ascii="仿宋" w:hAnsi="Times New Roman" w:cs="Times New Roman"/>
          <w:szCs w:val="32"/>
        </w:rPr>
      </w:pPr>
      <w:r>
        <w:rPr>
          <w:rFonts w:hint="eastAsia" w:ascii="仿宋" w:hAnsi="Times New Roman" w:cs="Times New Roman"/>
          <w:szCs w:val="32"/>
        </w:rPr>
        <w:t>《信息系统安全等级保护预定级报告》</w:t>
      </w:r>
    </w:p>
    <w:p>
      <w:pPr>
        <w:pStyle w:val="3"/>
      </w:pPr>
      <w:bookmarkStart w:id="10" w:name="_Toc144109776"/>
      <w:bookmarkEnd w:id="10"/>
      <w:bookmarkStart w:id="11" w:name="_Toc2496"/>
      <w:bookmarkStart w:id="12" w:name="_Toc144639195"/>
      <w:bookmarkStart w:id="13" w:name="_Toc118259388"/>
      <w:r>
        <w:rPr>
          <w:rFonts w:hint="eastAsia"/>
        </w:rPr>
        <w:t>一、广西粮食信息综合监管平台描述</w:t>
      </w:r>
      <w:bookmarkEnd w:id="11"/>
    </w:p>
    <w:p>
      <w:pPr>
        <w:spacing w:line="360" w:lineRule="auto"/>
        <w:ind w:firstLine="640"/>
        <w:rPr>
          <w:rFonts w:ascii="仿宋" w:hAnsi="Times New Roman" w:cs="Times New Roman"/>
          <w:szCs w:val="32"/>
        </w:rPr>
      </w:pPr>
      <w:r>
        <w:rPr>
          <w:rFonts w:hint="eastAsia" w:ascii="仿宋" w:hAnsi="Times New Roman" w:cs="Times New Roman"/>
          <w:szCs w:val="32"/>
        </w:rPr>
        <w:t>（一）</w:t>
      </w:r>
      <w:r>
        <w:rPr>
          <w:rFonts w:hint="eastAsia" w:ascii="仿宋" w:hAnsi="Times New Roman" w:cs="Times New Roman"/>
          <w:color w:val="FF0000"/>
          <w:szCs w:val="32"/>
        </w:rPr>
        <w:t>2016年11月18日广西壮族自治区人民政府办公厅对《关于“粮安工程”粮食仓储设施智能化升级改造实施方案的请示》（桂粮报〔2016〕35号）的批复（广西壮族自治区人民政府办公厅文件处理笺 编号：201606750）</w:t>
      </w:r>
      <w:r>
        <w:rPr>
          <w:rFonts w:hint="eastAsia" w:ascii="仿宋" w:hAnsi="Times New Roman" w:cs="Times New Roman"/>
          <w:szCs w:val="32"/>
        </w:rPr>
        <w:t>同意项目立项。广西壮族自治区粮食和物资储备局是该信息系统业务的主管部门，广西壮族自治区粮食和物资储备局规划建设与安全仓储处是该信息系统定级的责任单位</w:t>
      </w:r>
    </w:p>
    <w:p>
      <w:pPr>
        <w:spacing w:line="360" w:lineRule="auto"/>
        <w:ind w:firstLine="640"/>
        <w:rPr>
          <w:rFonts w:ascii="仿宋" w:hAnsi="Times New Roman" w:cs="Times New Roman"/>
          <w:szCs w:val="32"/>
        </w:rPr>
      </w:pPr>
      <w:r>
        <w:rPr>
          <w:rFonts w:hint="eastAsia" w:ascii="仿宋" w:hAnsi="Times New Roman" w:cs="Times New Roman"/>
          <w:szCs w:val="32"/>
        </w:rPr>
        <w:t>（二）广西粮食信息综合监管平台网络安全域划分为电子政务外网接入区、互联接入区、对外服务区（DMZ）、核心交换区、安全管理区、业务应用区和终端接入区，其中各安全域根据业务及应用特点又可继续进行安全域细分。</w:t>
      </w:r>
    </w:p>
    <w:p>
      <w:pPr>
        <w:spacing w:line="360" w:lineRule="auto"/>
        <w:ind w:firstLine="640"/>
        <w:rPr>
          <w:rFonts w:ascii="仿宋" w:hAnsi="Times New Roman" w:cs="Times New Roman"/>
          <w:szCs w:val="32"/>
        </w:rPr>
      </w:pPr>
      <w:r>
        <w:rPr>
          <w:rFonts w:hint="eastAsia" w:ascii="仿宋" w:hAnsi="Times New Roman" w:cs="Times New Roman"/>
          <w:szCs w:val="32"/>
        </w:rPr>
        <w:t>政务外网接入区边界上部署2套出口路由器与广西电子政务外网云计算中心机房相连，并通过部署2套下一代防火墙进行边界保护。</w:t>
      </w:r>
    </w:p>
    <w:p>
      <w:pPr>
        <w:spacing w:line="360" w:lineRule="auto"/>
        <w:ind w:firstLine="640"/>
        <w:rPr>
          <w:rFonts w:ascii="仿宋" w:hAnsi="Times New Roman" w:cs="Times New Roman"/>
          <w:szCs w:val="32"/>
        </w:rPr>
      </w:pPr>
      <w:r>
        <w:rPr>
          <w:rFonts w:hint="eastAsia" w:ascii="仿宋" w:hAnsi="Times New Roman" w:cs="Times New Roman"/>
          <w:szCs w:val="32"/>
        </w:rPr>
        <w:t>互联网接入区通过互联网与粮库及移动终端相连，并通过部署2套下一代防火墙进行边界保护。</w:t>
      </w:r>
    </w:p>
    <w:p>
      <w:pPr>
        <w:spacing w:line="360" w:lineRule="auto"/>
        <w:ind w:firstLine="640"/>
        <w:rPr>
          <w:rFonts w:ascii="仿宋" w:hAnsi="Times New Roman" w:cs="Times New Roman"/>
          <w:szCs w:val="32"/>
        </w:rPr>
      </w:pPr>
      <w:r>
        <w:rPr>
          <w:rFonts w:hint="eastAsia" w:ascii="仿宋" w:hAnsi="Times New Roman" w:cs="Times New Roman"/>
          <w:szCs w:val="32"/>
        </w:rPr>
        <w:t>边界防火墙外联的其他系统部分为外部网络部分，而边界防火墙以内的部分为广西粮食信息综合监管平台网络。在此次定级过程中，将广西粮食信息综合监管平台网络部分定义为等级保护定级的范围和对象。</w:t>
      </w:r>
    </w:p>
    <w:p>
      <w:pPr>
        <w:spacing w:line="360" w:lineRule="auto"/>
        <w:ind w:firstLine="0" w:firstLineChars="0"/>
        <w:rPr>
          <w:rFonts w:ascii="仿宋" w:hAnsi="Times New Roman" w:cs="Times New Roman"/>
          <w:sz w:val="28"/>
          <w:szCs w:val="28"/>
        </w:rPr>
      </w:pPr>
      <w:r>
        <w:rPr>
          <w:rFonts w:ascii="仿宋" w:hAnsi="Times New Roman" w:cs="Times New Roman"/>
          <w:sz w:val="28"/>
          <w:szCs w:val="28"/>
        </w:rPr>
        <w:drawing>
          <wp:inline distT="0" distB="0" distL="0" distR="0">
            <wp:extent cx="5279390" cy="5651500"/>
            <wp:effectExtent l="0" t="0" r="1651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9390" cy="5651500"/>
                    </a:xfrm>
                    <a:prstGeom prst="rect">
                      <a:avLst/>
                    </a:prstGeom>
                    <a:noFill/>
                  </pic:spPr>
                </pic:pic>
              </a:graphicData>
            </a:graphic>
          </wp:inline>
        </w:drawing>
      </w:r>
    </w:p>
    <w:p>
      <w:pPr>
        <w:spacing w:line="360" w:lineRule="auto"/>
        <w:ind w:firstLine="0" w:firstLineChars="0"/>
        <w:rPr>
          <w:rFonts w:ascii="仿宋" w:hAnsi="Times New Roman" w:cs="Times New Roman"/>
          <w:sz w:val="28"/>
          <w:szCs w:val="28"/>
        </w:rPr>
      </w:pPr>
    </w:p>
    <w:p>
      <w:pPr>
        <w:pStyle w:val="3"/>
      </w:pPr>
      <w:bookmarkStart w:id="14" w:name="_Toc4012"/>
      <w:r>
        <w:rPr>
          <w:rFonts w:hint="eastAsia"/>
        </w:rPr>
        <w:t>二、广西粮食信息综合监管平台安全保护等级确定</w:t>
      </w:r>
      <w:bookmarkEnd w:id="14"/>
    </w:p>
    <w:p>
      <w:pPr>
        <w:pStyle w:val="4"/>
      </w:pPr>
      <w:bookmarkStart w:id="15" w:name="_Toc16399"/>
      <w:r>
        <w:rPr>
          <w:rFonts w:hint="eastAsia"/>
        </w:rPr>
        <w:t>（一）业务信息安全保护等级的确定</w:t>
      </w:r>
      <w:bookmarkEnd w:id="15"/>
    </w:p>
    <w:p>
      <w:pPr>
        <w:spacing w:line="360" w:lineRule="auto"/>
        <w:ind w:firstLine="320" w:firstLineChars="100"/>
        <w:rPr>
          <w:rFonts w:ascii="仿宋" w:hAnsi="Times New Roman" w:cs="Times New Roman"/>
          <w:szCs w:val="32"/>
        </w:rPr>
      </w:pPr>
      <w:r>
        <w:rPr>
          <w:rFonts w:hint="eastAsia" w:ascii="仿宋" w:hAnsi="Times New Roman" w:cs="Times New Roman"/>
          <w:szCs w:val="32"/>
        </w:rPr>
        <w:t>（1）业务信息描述</w:t>
      </w:r>
    </w:p>
    <w:p>
      <w:pPr>
        <w:spacing w:line="360" w:lineRule="auto"/>
        <w:ind w:firstLine="320" w:firstLineChars="100"/>
        <w:rPr>
          <w:rFonts w:ascii="仿宋" w:hAnsi="Times New Roman" w:cs="Times New Roman"/>
          <w:szCs w:val="32"/>
        </w:rPr>
      </w:pPr>
      <w:r>
        <w:rPr>
          <w:rFonts w:hint="eastAsia" w:ascii="仿宋" w:hAnsi="Times New Roman" w:cs="Times New Roman"/>
          <w:szCs w:val="32"/>
        </w:rPr>
        <w:t xml:space="preserve">  广西粮食信息综合监管平台是全区涉粮企业的数据管理中心、应用创新中心、决策指挥中心、市场监测中心、社会服务中心，主要面向粮食行政及相关管理部门、各类涉粮企事业单位和社会公众，通过公共网络或专用网络，实现粮食信息采集、汇总、分析和利用。</w:t>
      </w:r>
    </w:p>
    <w:p>
      <w:pPr>
        <w:spacing w:line="360" w:lineRule="auto"/>
        <w:ind w:firstLine="320" w:firstLineChars="100"/>
        <w:rPr>
          <w:rFonts w:ascii="仿宋" w:hAnsi="Times New Roman" w:cs="Times New Roman"/>
          <w:szCs w:val="32"/>
        </w:rPr>
      </w:pPr>
      <w:r>
        <w:rPr>
          <w:rFonts w:hint="eastAsia" w:ascii="仿宋" w:hAnsi="Times New Roman" w:cs="Times New Roman"/>
          <w:szCs w:val="32"/>
        </w:rPr>
        <w:t>广西粮食信息综合监管平台所涉及数据包括粮食管理信息，办公信息等。</w:t>
      </w:r>
    </w:p>
    <w:p>
      <w:pPr>
        <w:spacing w:line="360" w:lineRule="auto"/>
        <w:ind w:firstLine="320" w:firstLineChars="100"/>
        <w:rPr>
          <w:rFonts w:ascii="仿宋" w:hAnsi="Times New Roman" w:cs="Times New Roman"/>
          <w:szCs w:val="32"/>
        </w:rPr>
      </w:pPr>
      <w:r>
        <w:rPr>
          <w:rFonts w:hint="eastAsia" w:ascii="仿宋" w:hAnsi="Times New Roman" w:cs="Times New Roman"/>
          <w:szCs w:val="32"/>
        </w:rPr>
        <w:t>（2）业务信息受到破坏时所侵害客体的确定</w:t>
      </w:r>
    </w:p>
    <w:p>
      <w:pPr>
        <w:spacing w:line="360" w:lineRule="auto"/>
        <w:ind w:firstLine="320" w:firstLineChars="100"/>
        <w:rPr>
          <w:rFonts w:ascii="仿宋" w:hAnsi="Times New Roman" w:cs="Times New Roman"/>
          <w:szCs w:val="32"/>
        </w:rPr>
      </w:pPr>
      <w:r>
        <w:rPr>
          <w:rFonts w:hint="eastAsia" w:ascii="仿宋" w:hAnsi="Times New Roman" w:cs="Times New Roman"/>
          <w:szCs w:val="32"/>
        </w:rPr>
        <w:t>广西粮食信息综合监管平台的业务信息遭到破坏后，所侵害的客体是社会秩序、公共利益。一旦业务信息遭到非法入侵、修改、增加、删除等不明侵害（形式可以包括丢失、破坏、损坏等），会对社会秩序、公共利益造成影响和损害，可以表现为：造成社会不良影响，引起公共利益的损害等。</w:t>
      </w:r>
    </w:p>
    <w:p>
      <w:pPr>
        <w:spacing w:line="360" w:lineRule="auto"/>
        <w:ind w:firstLine="320" w:firstLineChars="100"/>
        <w:rPr>
          <w:rFonts w:ascii="仿宋" w:hAnsi="Times New Roman" w:cs="Times New Roman"/>
          <w:szCs w:val="32"/>
        </w:rPr>
      </w:pPr>
      <w:r>
        <w:rPr>
          <w:rFonts w:hint="eastAsia" w:ascii="仿宋" w:hAnsi="Times New Roman" w:cs="Times New Roman"/>
          <w:szCs w:val="32"/>
        </w:rPr>
        <w:t>（3）业务信息受到破坏后对受侵害客体的侵害程度的确定</w:t>
      </w:r>
    </w:p>
    <w:p>
      <w:pPr>
        <w:spacing w:line="360" w:lineRule="auto"/>
        <w:ind w:firstLine="320" w:firstLineChars="100"/>
        <w:rPr>
          <w:rFonts w:ascii="仿宋" w:hAnsi="Times New Roman" w:cs="Times New Roman"/>
          <w:szCs w:val="32"/>
        </w:rPr>
      </w:pPr>
      <w:r>
        <w:rPr>
          <w:rFonts w:hint="eastAsia" w:ascii="仿宋" w:hAnsi="Times New Roman" w:cs="Times New Roman"/>
          <w:szCs w:val="32"/>
        </w:rPr>
        <w:t>上述结果的程度表现为严重损害，即工作职能受到严重影响，业务能力显著下降，出现较严重的法律问题，较大范围的不良影响等。</w:t>
      </w:r>
    </w:p>
    <w:p>
      <w:pPr>
        <w:spacing w:line="360" w:lineRule="auto"/>
        <w:ind w:firstLine="320" w:firstLineChars="100"/>
        <w:rPr>
          <w:rFonts w:ascii="仿宋" w:hAnsi="Times New Roman" w:cs="Times New Roman"/>
          <w:szCs w:val="32"/>
        </w:rPr>
      </w:pPr>
      <w:r>
        <w:rPr>
          <w:rFonts w:hint="eastAsia" w:ascii="仿宋" w:hAnsi="Times New Roman" w:cs="Times New Roman"/>
          <w:szCs w:val="32"/>
        </w:rPr>
        <w:t>（4）确定业务信息安全保护等级</w:t>
      </w:r>
    </w:p>
    <w:p>
      <w:pPr>
        <w:spacing w:line="360" w:lineRule="auto"/>
        <w:ind w:firstLine="320" w:firstLineChars="100"/>
        <w:rPr>
          <w:rFonts w:ascii="仿宋" w:hAnsi="Times New Roman" w:cs="Times New Roman"/>
          <w:szCs w:val="32"/>
        </w:rPr>
      </w:pPr>
      <w:r>
        <w:rPr>
          <w:rFonts w:hint="eastAsia" w:ascii="仿宋" w:hAnsi="Times New Roman" w:cs="Times New Roman"/>
          <w:szCs w:val="32"/>
        </w:rPr>
        <w:t>根据以上分析，本系统的业务信息安全保护等级为第三级。</w:t>
      </w:r>
    </w:p>
    <w:p>
      <w:pPr>
        <w:spacing w:line="360" w:lineRule="auto"/>
        <w:ind w:firstLine="0" w:firstLineChars="0"/>
        <w:jc w:val="center"/>
        <w:rPr>
          <w:rFonts w:ascii="Times New Roman" w:hAnsi="Times New Roman" w:eastAsia="黑体" w:cs="Times New Roman"/>
          <w:kern w:val="0"/>
          <w:sz w:val="24"/>
          <w:szCs w:val="24"/>
        </w:rPr>
      </w:pPr>
      <w:r>
        <w:rPr>
          <w:rFonts w:ascii="Times New Roman" w:hAnsi="Times New Roman" w:eastAsia="黑体" w:cs="Times New Roman"/>
          <w:kern w:val="0"/>
          <w:sz w:val="24"/>
          <w:szCs w:val="24"/>
        </w:rPr>
        <w:t>业务信息安全保护等级矩阵表</w:t>
      </w:r>
    </w:p>
    <w:tbl>
      <w:tblPr>
        <w:tblStyle w:val="10"/>
        <w:tblW w:w="89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52"/>
        <w:gridCol w:w="1690"/>
        <w:gridCol w:w="1429"/>
        <w:gridCol w:w="168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5" w:hRule="atLeast"/>
          <w:tblHeader/>
          <w:jc w:val="center"/>
        </w:trPr>
        <w:tc>
          <w:tcPr>
            <w:tcW w:w="4152" w:type="dxa"/>
            <w:vMerge w:val="restart"/>
            <w:tcBorders>
              <w:top w:val="single" w:color="auto" w:sz="12" w:space="0"/>
              <w:left w:val="single" w:color="auto" w:sz="12" w:space="0"/>
              <w:bottom w:val="single" w:color="auto" w:sz="6" w:space="0"/>
              <w:right w:val="single" w:color="auto" w:sz="6" w:space="0"/>
            </w:tcBorders>
            <w:shd w:val="clear" w:color="auto" w:fill="B2B2B2"/>
            <w:vAlign w:val="center"/>
          </w:tcPr>
          <w:p>
            <w:pPr>
              <w:adjustRightInd w:val="0"/>
              <w:spacing w:line="360" w:lineRule="auto"/>
              <w:ind w:firstLine="0" w:firstLineChars="0"/>
              <w:jc w:val="center"/>
              <w:textAlignment w:val="baseline"/>
              <w:rPr>
                <w:rFonts w:ascii="仿宋" w:hAnsi="仿宋" w:cs="Times New Roman"/>
                <w:b/>
                <w:kern w:val="0"/>
                <w:sz w:val="24"/>
                <w:szCs w:val="24"/>
              </w:rPr>
            </w:pPr>
            <w:r>
              <w:rPr>
                <w:rFonts w:ascii="仿宋" w:hAnsi="仿宋" w:cs="Times New Roman"/>
                <w:b/>
                <w:kern w:val="0"/>
                <w:sz w:val="24"/>
                <w:szCs w:val="24"/>
              </w:rPr>
              <w:t>业务信息安全被破坏时所侵害的客体</w:t>
            </w:r>
          </w:p>
        </w:tc>
        <w:tc>
          <w:tcPr>
            <w:tcW w:w="4808" w:type="dxa"/>
            <w:gridSpan w:val="3"/>
            <w:tcBorders>
              <w:top w:val="single" w:color="auto" w:sz="12" w:space="0"/>
              <w:left w:val="single" w:color="auto" w:sz="6" w:space="0"/>
              <w:bottom w:val="single" w:color="auto" w:sz="6" w:space="0"/>
              <w:right w:val="single" w:color="auto" w:sz="12" w:space="0"/>
            </w:tcBorders>
            <w:shd w:val="clear" w:color="auto" w:fill="B2B2B2"/>
          </w:tcPr>
          <w:p>
            <w:pPr>
              <w:adjustRightInd w:val="0"/>
              <w:spacing w:line="360" w:lineRule="auto"/>
              <w:ind w:firstLine="0" w:firstLineChars="0"/>
              <w:jc w:val="center"/>
              <w:textAlignment w:val="baseline"/>
              <w:rPr>
                <w:rFonts w:ascii="仿宋" w:hAnsi="仿宋" w:cs="Times New Roman"/>
                <w:b/>
                <w:kern w:val="0"/>
                <w:sz w:val="24"/>
                <w:szCs w:val="24"/>
              </w:rPr>
            </w:pPr>
            <w:r>
              <w:rPr>
                <w:rFonts w:ascii="仿宋" w:hAnsi="仿宋" w:cs="Times New Roman"/>
                <w:b/>
                <w:kern w:val="0"/>
                <w:sz w:val="24"/>
                <w:szCs w:val="24"/>
              </w:rPr>
              <w:t>对相应客体的侵害程度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0" w:hRule="atLeast"/>
          <w:tblHeader/>
          <w:jc w:val="center"/>
        </w:trPr>
        <w:tc>
          <w:tcPr>
            <w:tcW w:w="4152" w:type="dxa"/>
            <w:vMerge w:val="continue"/>
            <w:tcBorders>
              <w:top w:val="single" w:color="auto" w:sz="12" w:space="0"/>
              <w:left w:val="single" w:color="auto" w:sz="12" w:space="0"/>
              <w:bottom w:val="single" w:color="auto" w:sz="6" w:space="0"/>
              <w:right w:val="single" w:color="auto" w:sz="6" w:space="0"/>
            </w:tcBorders>
            <w:shd w:val="clear" w:color="auto" w:fill="B2B2B2"/>
            <w:vAlign w:val="center"/>
          </w:tcPr>
          <w:p>
            <w:pPr>
              <w:widowControl/>
              <w:ind w:firstLine="0" w:firstLineChars="0"/>
              <w:jc w:val="left"/>
              <w:rPr>
                <w:rFonts w:ascii="仿宋" w:hAnsi="仿宋" w:cs="Times New Roman"/>
                <w:b/>
                <w:kern w:val="0"/>
                <w:sz w:val="24"/>
                <w:szCs w:val="24"/>
              </w:rPr>
            </w:pPr>
          </w:p>
        </w:tc>
        <w:tc>
          <w:tcPr>
            <w:tcW w:w="1690" w:type="dxa"/>
            <w:tcBorders>
              <w:top w:val="single" w:color="auto" w:sz="6" w:space="0"/>
              <w:left w:val="single" w:color="auto" w:sz="6" w:space="0"/>
              <w:bottom w:val="single" w:color="auto" w:sz="6" w:space="0"/>
              <w:right w:val="single" w:color="auto" w:sz="6" w:space="0"/>
            </w:tcBorders>
            <w:shd w:val="clear" w:color="auto" w:fill="B2B2B2"/>
          </w:tcPr>
          <w:p>
            <w:pPr>
              <w:adjustRightInd w:val="0"/>
              <w:spacing w:line="360" w:lineRule="auto"/>
              <w:ind w:firstLine="482"/>
              <w:textAlignment w:val="baseline"/>
              <w:rPr>
                <w:rFonts w:ascii="仿宋" w:hAnsi="仿宋" w:cs="Times New Roman"/>
                <w:b/>
                <w:kern w:val="0"/>
                <w:sz w:val="24"/>
                <w:szCs w:val="24"/>
              </w:rPr>
            </w:pPr>
            <w:r>
              <w:rPr>
                <w:rFonts w:ascii="仿宋" w:hAnsi="仿宋" w:cs="Times New Roman"/>
                <w:b/>
                <w:kern w:val="0"/>
                <w:sz w:val="24"/>
                <w:szCs w:val="24"/>
              </w:rPr>
              <w:t>一般损害</w:t>
            </w:r>
          </w:p>
        </w:tc>
        <w:tc>
          <w:tcPr>
            <w:tcW w:w="1429" w:type="dxa"/>
            <w:tcBorders>
              <w:top w:val="single" w:color="auto" w:sz="6" w:space="0"/>
              <w:left w:val="single" w:color="auto" w:sz="6" w:space="0"/>
              <w:bottom w:val="single" w:color="auto" w:sz="6" w:space="0"/>
              <w:right w:val="single" w:color="auto" w:sz="6" w:space="0"/>
            </w:tcBorders>
            <w:shd w:val="clear" w:color="auto" w:fill="B2B2B2"/>
          </w:tcPr>
          <w:p>
            <w:pPr>
              <w:adjustRightInd w:val="0"/>
              <w:spacing w:line="360" w:lineRule="auto"/>
              <w:ind w:firstLine="0" w:firstLineChars="0"/>
              <w:jc w:val="center"/>
              <w:textAlignment w:val="baseline"/>
              <w:rPr>
                <w:rFonts w:ascii="仿宋" w:hAnsi="仿宋" w:cs="Times New Roman"/>
                <w:b/>
                <w:kern w:val="0"/>
                <w:sz w:val="24"/>
                <w:szCs w:val="24"/>
              </w:rPr>
            </w:pPr>
            <w:r>
              <w:rPr>
                <w:rFonts w:ascii="仿宋" w:hAnsi="仿宋" w:cs="Times New Roman"/>
                <w:b/>
                <w:kern w:val="0"/>
                <w:sz w:val="24"/>
                <w:szCs w:val="24"/>
              </w:rPr>
              <w:t>严重损害</w:t>
            </w:r>
          </w:p>
        </w:tc>
        <w:tc>
          <w:tcPr>
            <w:tcW w:w="1689" w:type="dxa"/>
            <w:tcBorders>
              <w:top w:val="single" w:color="auto" w:sz="6" w:space="0"/>
              <w:left w:val="single" w:color="auto" w:sz="6" w:space="0"/>
              <w:bottom w:val="single" w:color="auto" w:sz="6" w:space="0"/>
              <w:right w:val="single" w:color="auto" w:sz="12" w:space="0"/>
            </w:tcBorders>
            <w:shd w:val="clear" w:color="auto" w:fill="B2B2B2"/>
          </w:tcPr>
          <w:p>
            <w:pPr>
              <w:adjustRightInd w:val="0"/>
              <w:spacing w:line="360" w:lineRule="auto"/>
              <w:ind w:firstLine="0" w:firstLineChars="0"/>
              <w:textAlignment w:val="baseline"/>
              <w:rPr>
                <w:rFonts w:ascii="仿宋" w:hAnsi="仿宋" w:cs="Times New Roman"/>
                <w:b/>
                <w:kern w:val="0"/>
                <w:sz w:val="24"/>
                <w:szCs w:val="24"/>
              </w:rPr>
            </w:pPr>
            <w:r>
              <w:rPr>
                <w:rFonts w:ascii="仿宋" w:hAnsi="仿宋" w:cs="Times New Roman"/>
                <w:b/>
                <w:kern w:val="0"/>
                <w:sz w:val="24"/>
                <w:szCs w:val="24"/>
              </w:rPr>
              <w:t>特别严重损害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4152" w:type="dxa"/>
            <w:tcBorders>
              <w:top w:val="single" w:color="auto" w:sz="6" w:space="0"/>
              <w:left w:val="single" w:color="auto" w:sz="12" w:space="0"/>
              <w:bottom w:val="single" w:color="auto" w:sz="6" w:space="0"/>
              <w:right w:val="single" w:color="auto" w:sz="6" w:space="0"/>
            </w:tcBorders>
          </w:tcPr>
          <w:p>
            <w:pPr>
              <w:adjustRightInd w:val="0"/>
              <w:spacing w:line="360" w:lineRule="auto"/>
              <w:ind w:firstLine="0" w:firstLineChars="0"/>
              <w:textAlignment w:val="baseline"/>
              <w:rPr>
                <w:rFonts w:ascii="仿宋" w:hAnsi="仿宋" w:cs="Times New Roman"/>
                <w:kern w:val="0"/>
                <w:sz w:val="24"/>
                <w:szCs w:val="24"/>
              </w:rPr>
            </w:pPr>
            <w:r>
              <w:rPr>
                <w:rFonts w:ascii="仿宋" w:hAnsi="仿宋" w:cs="Times New Roman"/>
                <w:kern w:val="0"/>
                <w:sz w:val="24"/>
                <w:szCs w:val="24"/>
              </w:rPr>
              <w:t>公民、法人和其他组织的合法权益</w:t>
            </w:r>
          </w:p>
        </w:tc>
        <w:tc>
          <w:tcPr>
            <w:tcW w:w="1690" w:type="dxa"/>
            <w:tcBorders>
              <w:top w:val="single" w:color="auto" w:sz="6" w:space="0"/>
              <w:left w:val="single" w:color="auto" w:sz="6" w:space="0"/>
              <w:bottom w:val="single" w:color="auto" w:sz="6" w:space="0"/>
              <w:right w:val="single" w:color="auto" w:sz="6" w:space="0"/>
            </w:tcBorders>
          </w:tcPr>
          <w:p>
            <w:pPr>
              <w:adjustRightInd w:val="0"/>
              <w:spacing w:line="360" w:lineRule="auto"/>
              <w:ind w:firstLine="480"/>
              <w:textAlignment w:val="baseline"/>
              <w:rPr>
                <w:rFonts w:ascii="仿宋" w:hAnsi="仿宋" w:cs="Times New Roman"/>
                <w:kern w:val="0"/>
                <w:sz w:val="24"/>
                <w:szCs w:val="24"/>
              </w:rPr>
            </w:pPr>
            <w:r>
              <w:rPr>
                <w:rFonts w:ascii="仿宋" w:hAnsi="仿宋" w:cs="Times New Roman"/>
                <w:kern w:val="0"/>
                <w:sz w:val="24"/>
                <w:szCs w:val="24"/>
              </w:rPr>
              <w:t>第一级</w:t>
            </w:r>
          </w:p>
        </w:tc>
        <w:tc>
          <w:tcPr>
            <w:tcW w:w="1429" w:type="dxa"/>
            <w:tcBorders>
              <w:top w:val="single" w:color="auto" w:sz="6" w:space="0"/>
              <w:left w:val="single" w:color="auto" w:sz="6" w:space="0"/>
              <w:bottom w:val="single" w:color="auto" w:sz="6" w:space="0"/>
              <w:right w:val="single" w:color="auto" w:sz="6" w:space="0"/>
            </w:tcBorders>
          </w:tcPr>
          <w:p>
            <w:pPr>
              <w:adjustRightInd w:val="0"/>
              <w:spacing w:line="360" w:lineRule="auto"/>
              <w:ind w:firstLine="0" w:firstLineChars="0"/>
              <w:jc w:val="center"/>
              <w:textAlignment w:val="baseline"/>
              <w:rPr>
                <w:rFonts w:ascii="仿宋" w:hAnsi="仿宋" w:cs="Times New Roman"/>
                <w:kern w:val="0"/>
                <w:sz w:val="24"/>
                <w:szCs w:val="24"/>
              </w:rPr>
            </w:pPr>
            <w:r>
              <w:rPr>
                <w:rFonts w:ascii="仿宋" w:hAnsi="仿宋" w:cs="Times New Roman"/>
                <w:kern w:val="0"/>
                <w:sz w:val="24"/>
                <w:szCs w:val="24"/>
              </w:rPr>
              <w:t>第二级</w:t>
            </w:r>
          </w:p>
        </w:tc>
        <w:tc>
          <w:tcPr>
            <w:tcW w:w="1689" w:type="dxa"/>
            <w:tcBorders>
              <w:top w:val="single" w:color="auto" w:sz="6" w:space="0"/>
              <w:left w:val="single" w:color="auto" w:sz="6" w:space="0"/>
              <w:bottom w:val="single" w:color="auto" w:sz="6" w:space="0"/>
              <w:right w:val="single" w:color="auto" w:sz="12" w:space="0"/>
            </w:tcBorders>
          </w:tcPr>
          <w:p>
            <w:pPr>
              <w:adjustRightInd w:val="0"/>
              <w:spacing w:line="360" w:lineRule="auto"/>
              <w:ind w:firstLine="480"/>
              <w:textAlignment w:val="baseline"/>
              <w:rPr>
                <w:rFonts w:ascii="仿宋" w:hAnsi="仿宋" w:cs="Times New Roman"/>
                <w:kern w:val="0"/>
                <w:sz w:val="24"/>
                <w:szCs w:val="24"/>
              </w:rPr>
            </w:pPr>
            <w:r>
              <w:rPr>
                <w:rFonts w:ascii="仿宋" w:hAnsi="仿宋" w:cs="Times New Roman"/>
                <w:kern w:val="0"/>
                <w:sz w:val="24"/>
                <w:szCs w:val="24"/>
              </w:rPr>
              <w:t>第二级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4152" w:type="dxa"/>
            <w:tcBorders>
              <w:top w:val="single" w:color="auto" w:sz="6" w:space="0"/>
              <w:left w:val="single" w:color="auto" w:sz="12" w:space="0"/>
              <w:bottom w:val="single" w:color="auto" w:sz="6" w:space="0"/>
              <w:right w:val="single" w:color="auto" w:sz="6" w:space="0"/>
            </w:tcBorders>
          </w:tcPr>
          <w:p>
            <w:pPr>
              <w:adjustRightInd w:val="0"/>
              <w:spacing w:line="360" w:lineRule="auto"/>
              <w:ind w:firstLine="0" w:firstLineChars="0"/>
              <w:textAlignment w:val="baseline"/>
              <w:rPr>
                <w:rFonts w:ascii="仿宋" w:hAnsi="仿宋" w:cs="Times New Roman"/>
                <w:kern w:val="0"/>
                <w:sz w:val="24"/>
                <w:szCs w:val="24"/>
              </w:rPr>
            </w:pPr>
            <w:r>
              <w:rPr>
                <w:rFonts w:ascii="仿宋" w:hAnsi="仿宋" w:cs="Times New Roman"/>
                <w:kern w:val="0"/>
                <w:sz w:val="24"/>
                <w:szCs w:val="24"/>
              </w:rPr>
              <w:t>社会秩序、公共利益</w:t>
            </w:r>
          </w:p>
        </w:tc>
        <w:tc>
          <w:tcPr>
            <w:tcW w:w="1690" w:type="dxa"/>
            <w:tcBorders>
              <w:top w:val="single" w:color="auto" w:sz="6" w:space="0"/>
              <w:left w:val="single" w:color="auto" w:sz="6" w:space="0"/>
              <w:bottom w:val="single" w:color="auto" w:sz="6" w:space="0"/>
              <w:right w:val="single" w:color="auto" w:sz="6" w:space="0"/>
            </w:tcBorders>
          </w:tcPr>
          <w:p>
            <w:pPr>
              <w:adjustRightInd w:val="0"/>
              <w:spacing w:line="360" w:lineRule="auto"/>
              <w:ind w:firstLine="480"/>
              <w:textAlignment w:val="baseline"/>
              <w:rPr>
                <w:rFonts w:ascii="仿宋" w:hAnsi="仿宋" w:cs="Times New Roman"/>
                <w:kern w:val="0"/>
                <w:sz w:val="24"/>
                <w:szCs w:val="24"/>
              </w:rPr>
            </w:pPr>
            <w:r>
              <w:rPr>
                <w:rFonts w:ascii="仿宋" w:hAnsi="仿宋" w:cs="Times New Roman"/>
                <w:kern w:val="0"/>
                <w:sz w:val="24"/>
                <w:szCs w:val="24"/>
              </w:rPr>
              <w:t>第二级</w:t>
            </w:r>
          </w:p>
        </w:tc>
        <w:tc>
          <w:tcPr>
            <w:tcW w:w="1429" w:type="dxa"/>
            <w:tcBorders>
              <w:top w:val="single" w:color="auto" w:sz="6" w:space="0"/>
              <w:left w:val="single" w:color="auto" w:sz="6" w:space="0"/>
              <w:bottom w:val="single" w:color="auto" w:sz="6" w:space="0"/>
              <w:right w:val="single" w:color="auto" w:sz="6" w:space="0"/>
            </w:tcBorders>
            <w:shd w:val="clear" w:color="auto" w:fill="948A54"/>
          </w:tcPr>
          <w:p>
            <w:pPr>
              <w:adjustRightInd w:val="0"/>
              <w:spacing w:line="360" w:lineRule="auto"/>
              <w:ind w:firstLine="0" w:firstLineChars="0"/>
              <w:jc w:val="center"/>
              <w:textAlignment w:val="baseline"/>
              <w:rPr>
                <w:rFonts w:ascii="仿宋" w:hAnsi="仿宋" w:cs="Times New Roman"/>
                <w:kern w:val="0"/>
                <w:sz w:val="24"/>
                <w:szCs w:val="24"/>
              </w:rPr>
            </w:pPr>
            <w:r>
              <w:rPr>
                <w:rFonts w:ascii="仿宋" w:hAnsi="仿宋" w:cs="Times New Roman"/>
                <w:kern w:val="0"/>
                <w:sz w:val="24"/>
                <w:szCs w:val="24"/>
              </w:rPr>
              <w:t>第三级</w:t>
            </w:r>
          </w:p>
        </w:tc>
        <w:tc>
          <w:tcPr>
            <w:tcW w:w="1689" w:type="dxa"/>
            <w:tcBorders>
              <w:top w:val="single" w:color="auto" w:sz="6" w:space="0"/>
              <w:left w:val="single" w:color="auto" w:sz="6" w:space="0"/>
              <w:bottom w:val="single" w:color="auto" w:sz="6" w:space="0"/>
              <w:right w:val="single" w:color="auto" w:sz="12" w:space="0"/>
            </w:tcBorders>
          </w:tcPr>
          <w:p>
            <w:pPr>
              <w:adjustRightInd w:val="0"/>
              <w:spacing w:line="360" w:lineRule="auto"/>
              <w:ind w:firstLine="480"/>
              <w:textAlignment w:val="baseline"/>
              <w:rPr>
                <w:rFonts w:ascii="仿宋" w:hAnsi="仿宋" w:cs="Times New Roman"/>
                <w:kern w:val="0"/>
                <w:sz w:val="24"/>
                <w:szCs w:val="24"/>
              </w:rPr>
            </w:pPr>
            <w:r>
              <w:rPr>
                <w:rFonts w:ascii="仿宋" w:hAnsi="仿宋" w:cs="Times New Roman"/>
                <w:kern w:val="0"/>
                <w:sz w:val="24"/>
                <w:szCs w:val="24"/>
              </w:rPr>
              <w:t>第四级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4152" w:type="dxa"/>
            <w:tcBorders>
              <w:top w:val="single" w:color="auto" w:sz="6" w:space="0"/>
              <w:left w:val="single" w:color="auto" w:sz="12" w:space="0"/>
              <w:bottom w:val="single" w:color="auto" w:sz="12" w:space="0"/>
              <w:right w:val="single" w:color="auto" w:sz="6" w:space="0"/>
            </w:tcBorders>
          </w:tcPr>
          <w:p>
            <w:pPr>
              <w:adjustRightInd w:val="0"/>
              <w:spacing w:line="360" w:lineRule="auto"/>
              <w:ind w:firstLine="0" w:firstLineChars="0"/>
              <w:textAlignment w:val="baseline"/>
              <w:rPr>
                <w:rFonts w:ascii="仿宋" w:hAnsi="仿宋" w:cs="Times New Roman"/>
                <w:kern w:val="0"/>
                <w:sz w:val="24"/>
                <w:szCs w:val="24"/>
              </w:rPr>
            </w:pPr>
            <w:r>
              <w:rPr>
                <w:rFonts w:ascii="仿宋" w:hAnsi="仿宋" w:cs="Times New Roman"/>
                <w:kern w:val="0"/>
                <w:sz w:val="24"/>
                <w:szCs w:val="24"/>
              </w:rPr>
              <w:t>国家安全</w:t>
            </w:r>
          </w:p>
        </w:tc>
        <w:tc>
          <w:tcPr>
            <w:tcW w:w="1690" w:type="dxa"/>
            <w:tcBorders>
              <w:top w:val="single" w:color="auto" w:sz="6" w:space="0"/>
              <w:left w:val="single" w:color="auto" w:sz="6" w:space="0"/>
              <w:bottom w:val="single" w:color="auto" w:sz="12" w:space="0"/>
              <w:right w:val="single" w:color="auto" w:sz="6" w:space="0"/>
            </w:tcBorders>
          </w:tcPr>
          <w:p>
            <w:pPr>
              <w:adjustRightInd w:val="0"/>
              <w:spacing w:line="360" w:lineRule="auto"/>
              <w:ind w:firstLine="480"/>
              <w:textAlignment w:val="baseline"/>
              <w:rPr>
                <w:rFonts w:ascii="仿宋" w:hAnsi="仿宋" w:cs="Times New Roman"/>
                <w:kern w:val="0"/>
                <w:sz w:val="24"/>
                <w:szCs w:val="24"/>
              </w:rPr>
            </w:pPr>
            <w:r>
              <w:rPr>
                <w:rFonts w:ascii="仿宋" w:hAnsi="仿宋" w:cs="Times New Roman"/>
                <w:kern w:val="0"/>
                <w:sz w:val="24"/>
                <w:szCs w:val="24"/>
              </w:rPr>
              <w:t>第三级</w:t>
            </w:r>
          </w:p>
        </w:tc>
        <w:tc>
          <w:tcPr>
            <w:tcW w:w="1429" w:type="dxa"/>
            <w:tcBorders>
              <w:top w:val="single" w:color="auto" w:sz="6" w:space="0"/>
              <w:left w:val="single" w:color="auto" w:sz="6" w:space="0"/>
              <w:bottom w:val="single" w:color="auto" w:sz="12" w:space="0"/>
              <w:right w:val="single" w:color="auto" w:sz="6" w:space="0"/>
            </w:tcBorders>
          </w:tcPr>
          <w:p>
            <w:pPr>
              <w:adjustRightInd w:val="0"/>
              <w:spacing w:line="360" w:lineRule="auto"/>
              <w:ind w:firstLine="0" w:firstLineChars="0"/>
              <w:jc w:val="center"/>
              <w:textAlignment w:val="baseline"/>
              <w:rPr>
                <w:rFonts w:ascii="仿宋" w:hAnsi="仿宋" w:cs="Times New Roman"/>
                <w:kern w:val="0"/>
                <w:sz w:val="24"/>
                <w:szCs w:val="24"/>
              </w:rPr>
            </w:pPr>
            <w:r>
              <w:rPr>
                <w:rFonts w:ascii="仿宋" w:hAnsi="仿宋" w:cs="Times New Roman"/>
                <w:kern w:val="0"/>
                <w:sz w:val="24"/>
                <w:szCs w:val="24"/>
              </w:rPr>
              <w:t>第四级</w:t>
            </w:r>
          </w:p>
        </w:tc>
        <w:tc>
          <w:tcPr>
            <w:tcW w:w="1689" w:type="dxa"/>
            <w:tcBorders>
              <w:top w:val="single" w:color="auto" w:sz="6" w:space="0"/>
              <w:left w:val="single" w:color="auto" w:sz="6" w:space="0"/>
              <w:bottom w:val="single" w:color="auto" w:sz="12" w:space="0"/>
              <w:right w:val="single" w:color="auto" w:sz="12" w:space="0"/>
            </w:tcBorders>
          </w:tcPr>
          <w:p>
            <w:pPr>
              <w:adjustRightInd w:val="0"/>
              <w:spacing w:line="360" w:lineRule="auto"/>
              <w:ind w:firstLine="480"/>
              <w:textAlignment w:val="baseline"/>
              <w:rPr>
                <w:rFonts w:ascii="仿宋" w:hAnsi="仿宋" w:cs="Times New Roman"/>
                <w:kern w:val="0"/>
                <w:sz w:val="24"/>
                <w:szCs w:val="24"/>
              </w:rPr>
            </w:pPr>
            <w:r>
              <w:rPr>
                <w:rFonts w:ascii="仿宋" w:hAnsi="仿宋" w:cs="Times New Roman"/>
                <w:kern w:val="0"/>
                <w:sz w:val="24"/>
                <w:szCs w:val="24"/>
              </w:rPr>
              <w:t>第五级</w:t>
            </w:r>
          </w:p>
        </w:tc>
      </w:tr>
    </w:tbl>
    <w:p>
      <w:pPr>
        <w:pStyle w:val="4"/>
      </w:pPr>
      <w:bookmarkStart w:id="16" w:name="_Toc14177"/>
      <w:r>
        <w:t>（</w:t>
      </w:r>
      <w:r>
        <w:rPr>
          <w:rFonts w:hint="eastAsia"/>
        </w:rPr>
        <w:t>二</w:t>
      </w:r>
      <w:r>
        <w:t>）系统服务安全保护等级</w:t>
      </w:r>
      <w:r>
        <w:rPr>
          <w:rFonts w:hint="eastAsia"/>
        </w:rPr>
        <w:t>的确定</w:t>
      </w:r>
      <w:bookmarkEnd w:id="16"/>
    </w:p>
    <w:p>
      <w:pPr>
        <w:spacing w:line="360" w:lineRule="auto"/>
        <w:ind w:firstLine="640"/>
        <w:rPr>
          <w:rFonts w:ascii="仿宋" w:hAnsi="仿宋" w:cs="Times New Roman"/>
          <w:kern w:val="0"/>
          <w:szCs w:val="32"/>
        </w:rPr>
      </w:pPr>
      <w:r>
        <w:rPr>
          <w:rFonts w:ascii="仿宋" w:hAnsi="仿宋" w:cs="Times New Roman"/>
          <w:kern w:val="0"/>
          <w:szCs w:val="32"/>
        </w:rPr>
        <w:t>（1）系统服务描述</w:t>
      </w:r>
    </w:p>
    <w:p>
      <w:pPr>
        <w:spacing w:line="360" w:lineRule="auto"/>
        <w:ind w:firstLine="640"/>
        <w:rPr>
          <w:rFonts w:ascii="仿宋" w:hAnsi="仿宋" w:cs="Times New Roman"/>
          <w:kern w:val="0"/>
          <w:szCs w:val="32"/>
        </w:rPr>
      </w:pPr>
      <w:r>
        <w:rPr>
          <w:rFonts w:ascii="仿宋" w:hAnsi="仿宋" w:cs="Times New Roman"/>
          <w:kern w:val="0"/>
          <w:szCs w:val="32"/>
        </w:rPr>
        <w:t>广西</w:t>
      </w:r>
      <w:r>
        <w:rPr>
          <w:rFonts w:hint="eastAsia" w:ascii="仿宋" w:hAnsi="仿宋" w:cs="Times New Roman"/>
          <w:kern w:val="0"/>
          <w:szCs w:val="32"/>
        </w:rPr>
        <w:t>粮食信息综合监管平台</w:t>
      </w:r>
      <w:r>
        <w:rPr>
          <w:rFonts w:ascii="仿宋" w:hAnsi="仿宋" w:cs="Times New Roman"/>
          <w:kern w:val="0"/>
          <w:szCs w:val="32"/>
        </w:rPr>
        <w:t>属于为国计民生、社会稳定发展等提供服务的信息系统，其服务范围为区域范围内的国家机关工作人员、</w:t>
      </w:r>
      <w:r>
        <w:rPr>
          <w:rFonts w:ascii="仿宋" w:hAnsi="仿宋" w:cs="Times New Roman"/>
          <w:color w:val="000000"/>
          <w:kern w:val="0"/>
          <w:szCs w:val="32"/>
        </w:rPr>
        <w:t>放心粮油点的工作人员以及面向涉粮企业</w:t>
      </w:r>
      <w:r>
        <w:rPr>
          <w:rFonts w:ascii="仿宋" w:hAnsi="仿宋" w:cs="Times New Roman"/>
          <w:kern w:val="0"/>
          <w:szCs w:val="32"/>
        </w:rPr>
        <w:t>等。</w:t>
      </w:r>
    </w:p>
    <w:p>
      <w:pPr>
        <w:spacing w:line="360" w:lineRule="auto"/>
        <w:ind w:firstLine="640"/>
        <w:rPr>
          <w:rFonts w:ascii="仿宋" w:hAnsi="仿宋" w:cs="Times New Roman"/>
          <w:kern w:val="0"/>
          <w:szCs w:val="32"/>
        </w:rPr>
      </w:pPr>
      <w:r>
        <w:rPr>
          <w:rFonts w:ascii="仿宋" w:hAnsi="仿宋" w:cs="Times New Roman"/>
          <w:kern w:val="0"/>
          <w:szCs w:val="32"/>
        </w:rPr>
        <w:t>（2）系统服务安全受到破坏</w:t>
      </w:r>
      <w:r>
        <w:rPr>
          <w:rFonts w:hint="eastAsia" w:ascii="仿宋" w:hAnsi="仿宋" w:cs="Times New Roman"/>
          <w:kern w:val="0"/>
          <w:szCs w:val="32"/>
        </w:rPr>
        <w:t>时</w:t>
      </w:r>
      <w:r>
        <w:rPr>
          <w:rFonts w:ascii="仿宋" w:hAnsi="仿宋" w:cs="Times New Roman"/>
          <w:kern w:val="0"/>
          <w:szCs w:val="32"/>
        </w:rPr>
        <w:t>所侵害客体的确定</w:t>
      </w:r>
    </w:p>
    <w:p>
      <w:pPr>
        <w:spacing w:line="360" w:lineRule="auto"/>
        <w:ind w:firstLine="640"/>
        <w:rPr>
          <w:rFonts w:ascii="仿宋" w:hAnsi="仿宋" w:cs="Times New Roman"/>
          <w:kern w:val="0"/>
          <w:szCs w:val="32"/>
        </w:rPr>
      </w:pPr>
      <w:r>
        <w:rPr>
          <w:rFonts w:ascii="仿宋" w:hAnsi="仿宋" w:cs="Times New Roman"/>
          <w:kern w:val="0"/>
          <w:szCs w:val="32"/>
        </w:rPr>
        <w:t>广西</w:t>
      </w:r>
      <w:r>
        <w:rPr>
          <w:rFonts w:hint="eastAsia" w:ascii="仿宋" w:hAnsi="仿宋" w:cs="Times New Roman"/>
          <w:kern w:val="0"/>
          <w:szCs w:val="32"/>
        </w:rPr>
        <w:t>粮食信息综合监管平台</w:t>
      </w:r>
      <w:r>
        <w:rPr>
          <w:rFonts w:ascii="仿宋" w:hAnsi="仿宋" w:cs="Times New Roman"/>
          <w:kern w:val="0"/>
          <w:szCs w:val="32"/>
        </w:rPr>
        <w:t>的系统服务遭到破坏后，所侵害的客体是社会秩序、公共利益但不损害国家安全。客观方面表现的侵害结果为：对社会秩序公共利益造成侵害（造成社会不良影响，引起公共利益的损害等）。</w:t>
      </w:r>
    </w:p>
    <w:p>
      <w:pPr>
        <w:spacing w:line="360" w:lineRule="auto"/>
        <w:ind w:firstLine="640"/>
        <w:rPr>
          <w:rFonts w:ascii="仿宋" w:hAnsi="仿宋" w:cs="Times New Roman"/>
          <w:kern w:val="0"/>
          <w:szCs w:val="32"/>
        </w:rPr>
      </w:pPr>
      <w:r>
        <w:rPr>
          <w:rFonts w:ascii="仿宋" w:hAnsi="仿宋" w:cs="Times New Roman"/>
          <w:kern w:val="0"/>
          <w:szCs w:val="32"/>
        </w:rPr>
        <w:t>（3）系统服务受到破坏后对侵害客体的侵害程度</w:t>
      </w:r>
    </w:p>
    <w:p>
      <w:pPr>
        <w:spacing w:line="360" w:lineRule="auto"/>
        <w:ind w:firstLine="640"/>
        <w:rPr>
          <w:rFonts w:ascii="仿宋" w:hAnsi="仿宋" w:cs="Times New Roman"/>
          <w:kern w:val="0"/>
          <w:szCs w:val="32"/>
        </w:rPr>
      </w:pPr>
      <w:r>
        <w:rPr>
          <w:rFonts w:ascii="仿宋" w:hAnsi="仿宋" w:cs="Times New Roman"/>
          <w:kern w:val="0"/>
          <w:szCs w:val="32"/>
        </w:rPr>
        <w:t>上述结果的程度表现为：对社会秩序和公共利益造成严重损害，即会出现较大范围的社会不良影响和较大程度的公共利益的损害等。</w:t>
      </w:r>
    </w:p>
    <w:p>
      <w:pPr>
        <w:spacing w:line="360" w:lineRule="auto"/>
        <w:ind w:firstLine="640"/>
        <w:rPr>
          <w:rFonts w:ascii="仿宋" w:hAnsi="仿宋" w:cs="Times New Roman"/>
          <w:kern w:val="0"/>
          <w:szCs w:val="32"/>
        </w:rPr>
      </w:pPr>
      <w:r>
        <w:rPr>
          <w:rFonts w:ascii="仿宋" w:hAnsi="仿宋" w:cs="Times New Roman"/>
          <w:kern w:val="0"/>
          <w:szCs w:val="32"/>
        </w:rPr>
        <w:t>（4）确定系统服务安全保护等级</w:t>
      </w:r>
    </w:p>
    <w:p>
      <w:pPr>
        <w:spacing w:line="360" w:lineRule="auto"/>
        <w:ind w:firstLine="640"/>
        <w:rPr>
          <w:rFonts w:ascii="Times New Roman" w:hAnsi="Times New Roman" w:eastAsia="仿宋_GB2312" w:cs="Times New Roman"/>
          <w:kern w:val="0"/>
          <w:sz w:val="28"/>
        </w:rPr>
      </w:pPr>
      <w:r>
        <w:rPr>
          <w:rFonts w:ascii="仿宋" w:hAnsi="仿宋" w:cs="Times New Roman"/>
          <w:kern w:val="0"/>
          <w:szCs w:val="32"/>
        </w:rPr>
        <w:t>根据以上分析，本系统的系统服务安全保护等级为第三级</w:t>
      </w:r>
      <w:r>
        <w:rPr>
          <w:rFonts w:ascii="Times New Roman" w:hAnsi="Times New Roman" w:eastAsia="仿宋_GB2312" w:cs="Times New Roman"/>
          <w:kern w:val="0"/>
          <w:sz w:val="28"/>
        </w:rPr>
        <w:t>。</w:t>
      </w:r>
    </w:p>
    <w:p>
      <w:pPr>
        <w:spacing w:line="360" w:lineRule="auto"/>
        <w:ind w:firstLine="560"/>
        <w:rPr>
          <w:rFonts w:ascii="Times New Roman" w:hAnsi="Times New Roman" w:eastAsia="仿宋_GB2312" w:cs="Times New Roman"/>
          <w:kern w:val="0"/>
          <w:sz w:val="28"/>
        </w:rPr>
      </w:pPr>
    </w:p>
    <w:p>
      <w:pPr>
        <w:spacing w:line="360" w:lineRule="auto"/>
        <w:ind w:firstLine="560"/>
        <w:rPr>
          <w:rFonts w:ascii="Times New Roman" w:hAnsi="Times New Roman" w:eastAsia="仿宋_GB2312" w:cs="Times New Roman"/>
          <w:kern w:val="0"/>
          <w:sz w:val="28"/>
        </w:rPr>
      </w:pPr>
    </w:p>
    <w:p>
      <w:pPr>
        <w:spacing w:line="360" w:lineRule="auto"/>
        <w:ind w:firstLine="560"/>
        <w:rPr>
          <w:rFonts w:ascii="Times New Roman" w:hAnsi="Times New Roman" w:eastAsia="仿宋_GB2312" w:cs="Times New Roman"/>
          <w:kern w:val="0"/>
          <w:sz w:val="28"/>
        </w:rPr>
      </w:pPr>
    </w:p>
    <w:p>
      <w:pPr>
        <w:spacing w:line="360" w:lineRule="auto"/>
        <w:ind w:firstLine="560"/>
        <w:rPr>
          <w:rFonts w:ascii="Times New Roman" w:hAnsi="Times New Roman" w:eastAsia="仿宋_GB2312" w:cs="Times New Roman"/>
          <w:kern w:val="0"/>
          <w:sz w:val="28"/>
        </w:rPr>
      </w:pPr>
    </w:p>
    <w:p>
      <w:pPr>
        <w:spacing w:line="360" w:lineRule="auto"/>
        <w:ind w:firstLine="0" w:firstLineChars="0"/>
        <w:jc w:val="center"/>
        <w:rPr>
          <w:rFonts w:ascii="Times New Roman" w:hAnsi="Times New Roman" w:eastAsia="黑体" w:cs="Times New Roman"/>
          <w:kern w:val="0"/>
          <w:sz w:val="24"/>
          <w:szCs w:val="24"/>
        </w:rPr>
      </w:pPr>
      <w:bookmarkStart w:id="17" w:name="_Toc428222654"/>
      <w:r>
        <w:rPr>
          <w:rFonts w:ascii="Times New Roman" w:hAnsi="Times New Roman" w:eastAsia="黑体" w:cs="Times New Roman"/>
          <w:kern w:val="0"/>
          <w:sz w:val="24"/>
          <w:szCs w:val="24"/>
        </w:rPr>
        <w:t>系统服务安全保护等级矩阵表</w:t>
      </w:r>
      <w:bookmarkEnd w:id="17"/>
    </w:p>
    <w:tbl>
      <w:tblPr>
        <w:tblStyle w:val="10"/>
        <w:tblW w:w="8647" w:type="dxa"/>
        <w:tblInd w:w="-3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11"/>
        <w:gridCol w:w="1276"/>
        <w:gridCol w:w="1418"/>
        <w:gridCol w:w="18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8" w:hRule="atLeast"/>
          <w:tblHeader/>
        </w:trPr>
        <w:tc>
          <w:tcPr>
            <w:tcW w:w="4111" w:type="dxa"/>
            <w:vMerge w:val="restart"/>
            <w:tcBorders>
              <w:top w:val="single" w:color="auto" w:sz="12" w:space="0"/>
              <w:left w:val="single" w:color="auto" w:sz="12" w:space="0"/>
              <w:bottom w:val="single" w:color="auto" w:sz="6" w:space="0"/>
              <w:right w:val="single" w:color="auto" w:sz="6" w:space="0"/>
            </w:tcBorders>
            <w:shd w:val="clear" w:color="auto" w:fill="B2B2B2"/>
            <w:vAlign w:val="center"/>
          </w:tcPr>
          <w:p>
            <w:pPr>
              <w:adjustRightInd w:val="0"/>
              <w:spacing w:line="360" w:lineRule="auto"/>
              <w:ind w:firstLine="0" w:firstLineChars="0"/>
              <w:jc w:val="center"/>
              <w:textAlignment w:val="baseline"/>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系统服务安全被破坏时所侵害的客体</w:t>
            </w:r>
          </w:p>
        </w:tc>
        <w:tc>
          <w:tcPr>
            <w:tcW w:w="4536" w:type="dxa"/>
            <w:gridSpan w:val="3"/>
            <w:tcBorders>
              <w:top w:val="single" w:color="auto" w:sz="12" w:space="0"/>
              <w:left w:val="single" w:color="auto" w:sz="6" w:space="0"/>
              <w:bottom w:val="single" w:color="auto" w:sz="6" w:space="0"/>
              <w:right w:val="single" w:color="auto" w:sz="12" w:space="0"/>
            </w:tcBorders>
            <w:shd w:val="clear" w:color="auto" w:fill="B2B2B2"/>
          </w:tcPr>
          <w:p>
            <w:pPr>
              <w:adjustRightInd w:val="0"/>
              <w:spacing w:line="360" w:lineRule="auto"/>
              <w:ind w:firstLine="482"/>
              <w:jc w:val="center"/>
              <w:textAlignment w:val="baseline"/>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对相应客体的侵害程度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2" w:hRule="atLeast"/>
          <w:tblHeader/>
        </w:trPr>
        <w:tc>
          <w:tcPr>
            <w:tcW w:w="4111" w:type="dxa"/>
            <w:vMerge w:val="continue"/>
            <w:tcBorders>
              <w:top w:val="single" w:color="auto" w:sz="12" w:space="0"/>
              <w:left w:val="single" w:color="auto" w:sz="12" w:space="0"/>
              <w:bottom w:val="single" w:color="auto" w:sz="6" w:space="0"/>
              <w:right w:val="single" w:color="auto" w:sz="6" w:space="0"/>
            </w:tcBorders>
            <w:shd w:val="clear" w:color="auto" w:fill="B2B2B2"/>
            <w:vAlign w:val="center"/>
          </w:tcPr>
          <w:p>
            <w:pPr>
              <w:widowControl/>
              <w:ind w:firstLine="0" w:firstLineChars="0"/>
              <w:jc w:val="left"/>
              <w:rPr>
                <w:rFonts w:ascii="Times New Roman" w:hAnsi="Times New Roman" w:eastAsia="仿宋_GB2312" w:cs="Times New Roman"/>
                <w:b/>
                <w:kern w:val="0"/>
                <w:sz w:val="24"/>
                <w:szCs w:val="24"/>
              </w:rPr>
            </w:pPr>
          </w:p>
        </w:tc>
        <w:tc>
          <w:tcPr>
            <w:tcW w:w="1276" w:type="dxa"/>
            <w:tcBorders>
              <w:top w:val="single" w:color="auto" w:sz="6" w:space="0"/>
              <w:left w:val="single" w:color="auto" w:sz="6" w:space="0"/>
              <w:bottom w:val="single" w:color="auto" w:sz="6" w:space="0"/>
              <w:right w:val="single" w:color="auto" w:sz="6" w:space="0"/>
            </w:tcBorders>
            <w:shd w:val="clear" w:color="auto" w:fill="B2B2B2"/>
          </w:tcPr>
          <w:p>
            <w:pPr>
              <w:adjustRightInd w:val="0"/>
              <w:spacing w:line="360" w:lineRule="auto"/>
              <w:ind w:firstLine="0" w:firstLineChars="0"/>
              <w:jc w:val="center"/>
              <w:textAlignment w:val="baseline"/>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一般损害</w:t>
            </w:r>
          </w:p>
        </w:tc>
        <w:tc>
          <w:tcPr>
            <w:tcW w:w="1418" w:type="dxa"/>
            <w:tcBorders>
              <w:top w:val="single" w:color="auto" w:sz="6" w:space="0"/>
              <w:left w:val="single" w:color="auto" w:sz="6" w:space="0"/>
              <w:bottom w:val="single" w:color="auto" w:sz="6" w:space="0"/>
              <w:right w:val="single" w:color="auto" w:sz="6" w:space="0"/>
            </w:tcBorders>
            <w:shd w:val="clear" w:color="auto" w:fill="B2B2B2"/>
          </w:tcPr>
          <w:p>
            <w:pPr>
              <w:adjustRightInd w:val="0"/>
              <w:spacing w:line="360" w:lineRule="auto"/>
              <w:ind w:firstLine="0" w:firstLineChars="0"/>
              <w:jc w:val="center"/>
              <w:textAlignment w:val="baseline"/>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严重损害</w:t>
            </w:r>
          </w:p>
        </w:tc>
        <w:tc>
          <w:tcPr>
            <w:tcW w:w="1842" w:type="dxa"/>
            <w:tcBorders>
              <w:top w:val="single" w:color="auto" w:sz="6" w:space="0"/>
              <w:left w:val="single" w:color="auto" w:sz="6" w:space="0"/>
              <w:bottom w:val="single" w:color="auto" w:sz="6" w:space="0"/>
              <w:right w:val="single" w:color="auto" w:sz="12" w:space="0"/>
            </w:tcBorders>
            <w:shd w:val="clear" w:color="auto" w:fill="B2B2B2"/>
          </w:tcPr>
          <w:p>
            <w:pPr>
              <w:adjustRightInd w:val="0"/>
              <w:spacing w:line="360" w:lineRule="auto"/>
              <w:ind w:firstLine="0" w:firstLineChars="0"/>
              <w:jc w:val="center"/>
              <w:textAlignment w:val="baseline"/>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特别严重损害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0" w:hRule="atLeast"/>
        </w:trPr>
        <w:tc>
          <w:tcPr>
            <w:tcW w:w="4111" w:type="dxa"/>
            <w:tcBorders>
              <w:top w:val="single" w:color="auto" w:sz="6" w:space="0"/>
              <w:left w:val="single" w:color="auto" w:sz="12" w:space="0"/>
              <w:bottom w:val="single" w:color="auto" w:sz="6" w:space="0"/>
              <w:right w:val="single" w:color="auto" w:sz="6" w:space="0"/>
            </w:tcBorders>
            <w:shd w:val="clear" w:color="auto" w:fill="FFFFFF"/>
          </w:tcPr>
          <w:p>
            <w:pPr>
              <w:adjustRightInd w:val="0"/>
              <w:spacing w:line="360" w:lineRule="auto"/>
              <w:ind w:firstLine="0" w:firstLineChars="0"/>
              <w:jc w:val="center"/>
              <w:textAlignment w:val="baseline"/>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公民、法人和其他组织的合法权益</w:t>
            </w:r>
          </w:p>
        </w:tc>
        <w:tc>
          <w:tcPr>
            <w:tcW w:w="1276" w:type="dxa"/>
            <w:tcBorders>
              <w:top w:val="single" w:color="auto" w:sz="6" w:space="0"/>
              <w:left w:val="single" w:color="auto" w:sz="6" w:space="0"/>
              <w:bottom w:val="single" w:color="auto" w:sz="6" w:space="0"/>
              <w:right w:val="single" w:color="auto" w:sz="6" w:space="0"/>
            </w:tcBorders>
            <w:vAlign w:val="center"/>
          </w:tcPr>
          <w:p>
            <w:pPr>
              <w:adjustRightInd w:val="0"/>
              <w:spacing w:line="360" w:lineRule="auto"/>
              <w:ind w:firstLine="0" w:firstLineChars="0"/>
              <w:jc w:val="center"/>
              <w:textAlignment w:val="baseline"/>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第一级</w:t>
            </w:r>
          </w:p>
        </w:tc>
        <w:tc>
          <w:tcPr>
            <w:tcW w:w="1418" w:type="dxa"/>
            <w:tcBorders>
              <w:top w:val="single" w:color="auto" w:sz="6" w:space="0"/>
              <w:left w:val="single" w:color="auto" w:sz="6" w:space="0"/>
              <w:bottom w:val="single" w:color="auto" w:sz="6" w:space="0"/>
              <w:right w:val="single" w:color="auto" w:sz="6" w:space="0"/>
            </w:tcBorders>
          </w:tcPr>
          <w:p>
            <w:pPr>
              <w:adjustRightInd w:val="0"/>
              <w:spacing w:line="360" w:lineRule="auto"/>
              <w:ind w:firstLine="0" w:firstLineChars="0"/>
              <w:jc w:val="center"/>
              <w:textAlignment w:val="baseline"/>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第二级</w:t>
            </w:r>
          </w:p>
        </w:tc>
        <w:tc>
          <w:tcPr>
            <w:tcW w:w="1842" w:type="dxa"/>
            <w:tcBorders>
              <w:top w:val="single" w:color="auto" w:sz="6" w:space="0"/>
              <w:left w:val="single" w:color="auto" w:sz="6" w:space="0"/>
              <w:bottom w:val="single" w:color="auto" w:sz="6" w:space="0"/>
              <w:right w:val="single" w:color="auto" w:sz="12" w:space="0"/>
            </w:tcBorders>
          </w:tcPr>
          <w:p>
            <w:pPr>
              <w:adjustRightInd w:val="0"/>
              <w:spacing w:line="360" w:lineRule="auto"/>
              <w:ind w:firstLine="0" w:firstLineChars="0"/>
              <w:jc w:val="center"/>
              <w:textAlignment w:val="baseline"/>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第二级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9" w:hRule="atLeast"/>
        </w:trPr>
        <w:tc>
          <w:tcPr>
            <w:tcW w:w="4111" w:type="dxa"/>
            <w:tcBorders>
              <w:top w:val="single" w:color="auto" w:sz="6" w:space="0"/>
              <w:left w:val="single" w:color="auto" w:sz="12" w:space="0"/>
              <w:bottom w:val="single" w:color="auto" w:sz="6" w:space="0"/>
              <w:right w:val="single" w:color="auto" w:sz="6" w:space="0"/>
            </w:tcBorders>
            <w:vAlign w:val="center"/>
          </w:tcPr>
          <w:p>
            <w:pPr>
              <w:adjustRightInd w:val="0"/>
              <w:spacing w:line="360" w:lineRule="auto"/>
              <w:ind w:firstLine="0" w:firstLineChars="0"/>
              <w:jc w:val="center"/>
              <w:textAlignment w:val="baseline"/>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社会秩序、公共利益</w:t>
            </w:r>
          </w:p>
        </w:tc>
        <w:tc>
          <w:tcPr>
            <w:tcW w:w="1276" w:type="dxa"/>
            <w:tcBorders>
              <w:top w:val="single" w:color="auto" w:sz="6" w:space="0"/>
              <w:left w:val="single" w:color="auto" w:sz="6" w:space="0"/>
              <w:bottom w:val="single" w:color="auto" w:sz="6" w:space="0"/>
              <w:right w:val="single" w:color="auto" w:sz="6" w:space="0"/>
            </w:tcBorders>
          </w:tcPr>
          <w:p>
            <w:pPr>
              <w:adjustRightInd w:val="0"/>
              <w:spacing w:line="360" w:lineRule="auto"/>
              <w:ind w:firstLine="0" w:firstLineChars="0"/>
              <w:jc w:val="center"/>
              <w:textAlignment w:val="baseline"/>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第二级</w:t>
            </w:r>
          </w:p>
        </w:tc>
        <w:tc>
          <w:tcPr>
            <w:tcW w:w="1418" w:type="dxa"/>
            <w:tcBorders>
              <w:top w:val="single" w:color="auto" w:sz="6" w:space="0"/>
              <w:left w:val="single" w:color="auto" w:sz="6" w:space="0"/>
              <w:bottom w:val="single" w:color="auto" w:sz="6" w:space="0"/>
              <w:right w:val="single" w:color="auto" w:sz="6" w:space="0"/>
            </w:tcBorders>
            <w:shd w:val="clear" w:color="auto" w:fill="948A54"/>
          </w:tcPr>
          <w:p>
            <w:pPr>
              <w:adjustRightInd w:val="0"/>
              <w:spacing w:line="360" w:lineRule="auto"/>
              <w:ind w:firstLine="0" w:firstLineChars="0"/>
              <w:jc w:val="center"/>
              <w:textAlignment w:val="baseline"/>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第三级</w:t>
            </w:r>
          </w:p>
        </w:tc>
        <w:tc>
          <w:tcPr>
            <w:tcW w:w="1842" w:type="dxa"/>
            <w:tcBorders>
              <w:top w:val="single" w:color="auto" w:sz="6" w:space="0"/>
              <w:left w:val="single" w:color="auto" w:sz="6" w:space="0"/>
              <w:bottom w:val="single" w:color="auto" w:sz="6" w:space="0"/>
              <w:right w:val="single" w:color="auto" w:sz="12" w:space="0"/>
            </w:tcBorders>
          </w:tcPr>
          <w:p>
            <w:pPr>
              <w:adjustRightInd w:val="0"/>
              <w:spacing w:line="360" w:lineRule="auto"/>
              <w:ind w:firstLine="0" w:firstLineChars="0"/>
              <w:jc w:val="center"/>
              <w:textAlignment w:val="baseline"/>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第四级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9" w:hRule="atLeast"/>
        </w:trPr>
        <w:tc>
          <w:tcPr>
            <w:tcW w:w="4111" w:type="dxa"/>
            <w:tcBorders>
              <w:top w:val="single" w:color="auto" w:sz="6" w:space="0"/>
              <w:left w:val="single" w:color="auto" w:sz="12" w:space="0"/>
              <w:bottom w:val="single" w:color="auto" w:sz="12" w:space="0"/>
              <w:right w:val="single" w:color="auto" w:sz="6" w:space="0"/>
            </w:tcBorders>
          </w:tcPr>
          <w:p>
            <w:pPr>
              <w:adjustRightInd w:val="0"/>
              <w:spacing w:line="360" w:lineRule="auto"/>
              <w:ind w:firstLine="0" w:firstLineChars="0"/>
              <w:jc w:val="center"/>
              <w:textAlignment w:val="baseline"/>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国家安全</w:t>
            </w:r>
          </w:p>
        </w:tc>
        <w:tc>
          <w:tcPr>
            <w:tcW w:w="1276" w:type="dxa"/>
            <w:tcBorders>
              <w:top w:val="single" w:color="auto" w:sz="6" w:space="0"/>
              <w:left w:val="single" w:color="auto" w:sz="6" w:space="0"/>
              <w:bottom w:val="single" w:color="auto" w:sz="12" w:space="0"/>
              <w:right w:val="single" w:color="auto" w:sz="6" w:space="0"/>
            </w:tcBorders>
          </w:tcPr>
          <w:p>
            <w:pPr>
              <w:adjustRightInd w:val="0"/>
              <w:spacing w:line="360" w:lineRule="auto"/>
              <w:ind w:firstLine="0" w:firstLineChars="0"/>
              <w:jc w:val="center"/>
              <w:textAlignment w:val="baseline"/>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第三级</w:t>
            </w:r>
          </w:p>
        </w:tc>
        <w:tc>
          <w:tcPr>
            <w:tcW w:w="1418" w:type="dxa"/>
            <w:tcBorders>
              <w:top w:val="single" w:color="auto" w:sz="6" w:space="0"/>
              <w:left w:val="single" w:color="auto" w:sz="6" w:space="0"/>
              <w:bottom w:val="single" w:color="auto" w:sz="12" w:space="0"/>
              <w:right w:val="single" w:color="auto" w:sz="6" w:space="0"/>
            </w:tcBorders>
          </w:tcPr>
          <w:p>
            <w:pPr>
              <w:adjustRightInd w:val="0"/>
              <w:spacing w:line="360" w:lineRule="auto"/>
              <w:ind w:firstLine="0" w:firstLineChars="0"/>
              <w:jc w:val="center"/>
              <w:textAlignment w:val="baseline"/>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第四级</w:t>
            </w:r>
          </w:p>
        </w:tc>
        <w:tc>
          <w:tcPr>
            <w:tcW w:w="1842" w:type="dxa"/>
            <w:tcBorders>
              <w:top w:val="single" w:color="auto" w:sz="6" w:space="0"/>
              <w:left w:val="single" w:color="auto" w:sz="6" w:space="0"/>
              <w:bottom w:val="single" w:color="auto" w:sz="12" w:space="0"/>
              <w:right w:val="single" w:color="auto" w:sz="12" w:space="0"/>
            </w:tcBorders>
          </w:tcPr>
          <w:p>
            <w:pPr>
              <w:adjustRightInd w:val="0"/>
              <w:spacing w:line="360" w:lineRule="auto"/>
              <w:ind w:firstLine="0" w:firstLineChars="0"/>
              <w:jc w:val="center"/>
              <w:textAlignment w:val="baseline"/>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第五级</w:t>
            </w:r>
          </w:p>
        </w:tc>
      </w:tr>
    </w:tbl>
    <w:p>
      <w:pPr>
        <w:pStyle w:val="4"/>
      </w:pPr>
      <w:bookmarkStart w:id="18" w:name="_Toc2857"/>
      <w:r>
        <w:t>（</w:t>
      </w:r>
      <w:r>
        <w:rPr>
          <w:rFonts w:hint="eastAsia"/>
        </w:rPr>
        <w:t>三</w:t>
      </w:r>
      <w:r>
        <w:t>）安全保护等级的确定</w:t>
      </w:r>
      <w:bookmarkEnd w:id="18"/>
    </w:p>
    <w:p>
      <w:pPr>
        <w:spacing w:line="360" w:lineRule="auto"/>
        <w:ind w:firstLine="320" w:firstLineChars="100"/>
        <w:rPr>
          <w:rFonts w:ascii="仿宋" w:hAnsi="仿宋" w:cs="Times New Roman"/>
          <w:kern w:val="0"/>
          <w:szCs w:val="32"/>
        </w:rPr>
      </w:pPr>
      <w:r>
        <w:rPr>
          <w:rFonts w:ascii="仿宋" w:hAnsi="仿宋" w:cs="Times New Roman"/>
          <w:kern w:val="0"/>
          <w:szCs w:val="32"/>
        </w:rPr>
        <w:t>根据信息系统安全保护等级由业务信息安全等级和系统服务安全等级的较高者确定的划分方法，本系统安全保护等级拟定为三级。</w:t>
      </w:r>
    </w:p>
    <w:bookmarkEnd w:id="12"/>
    <w:bookmarkEnd w:id="13"/>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701"/>
        <w:gridCol w:w="2268"/>
        <w:gridCol w:w="2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pPr>
              <w:spacing w:line="360" w:lineRule="auto"/>
              <w:ind w:firstLine="0" w:firstLineChars="0"/>
              <w:jc w:val="center"/>
            </w:pPr>
            <w:r>
              <w:rPr>
                <w:rFonts w:hint="eastAsia"/>
              </w:rPr>
              <w:t>信息系统名称</w:t>
            </w:r>
          </w:p>
        </w:tc>
        <w:tc>
          <w:tcPr>
            <w:tcW w:w="1701" w:type="dxa"/>
          </w:tcPr>
          <w:p>
            <w:pPr>
              <w:spacing w:line="360" w:lineRule="auto"/>
              <w:ind w:firstLine="0" w:firstLineChars="0"/>
              <w:jc w:val="center"/>
            </w:pPr>
            <w:r>
              <w:rPr>
                <w:rFonts w:hint="eastAsia"/>
              </w:rPr>
              <w:t>安全保护等级</w:t>
            </w:r>
          </w:p>
        </w:tc>
        <w:tc>
          <w:tcPr>
            <w:tcW w:w="2268" w:type="dxa"/>
          </w:tcPr>
          <w:p>
            <w:pPr>
              <w:spacing w:line="360" w:lineRule="auto"/>
              <w:ind w:firstLine="0" w:firstLineChars="0"/>
              <w:jc w:val="center"/>
            </w:pPr>
            <w:r>
              <w:rPr>
                <w:rFonts w:hint="eastAsia"/>
              </w:rPr>
              <w:t>业务信息安全等级</w:t>
            </w:r>
          </w:p>
        </w:tc>
        <w:tc>
          <w:tcPr>
            <w:tcW w:w="2324" w:type="dxa"/>
          </w:tcPr>
          <w:p>
            <w:pPr>
              <w:spacing w:line="360" w:lineRule="auto"/>
              <w:ind w:firstLine="0" w:firstLineChars="0"/>
              <w:jc w:val="center"/>
            </w:pPr>
            <w:r>
              <w:rPr>
                <w:rFonts w:hint="eastAsia"/>
              </w:rPr>
              <w:t>系统服务安全等级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pPr>
              <w:spacing w:line="360" w:lineRule="auto"/>
              <w:ind w:firstLine="0" w:firstLineChars="0"/>
              <w:jc w:val="center"/>
            </w:pPr>
            <w:r>
              <w:rPr>
                <w:rFonts w:hint="eastAsia"/>
              </w:rPr>
              <w:t>广西粮食信息综合监管平台</w:t>
            </w:r>
          </w:p>
        </w:tc>
        <w:tc>
          <w:tcPr>
            <w:tcW w:w="1701" w:type="dxa"/>
          </w:tcPr>
          <w:p>
            <w:pPr>
              <w:spacing w:line="360" w:lineRule="auto"/>
              <w:ind w:firstLine="0" w:firstLineChars="0"/>
              <w:jc w:val="center"/>
            </w:pPr>
            <w:r>
              <w:rPr>
                <w:rFonts w:hint="eastAsia"/>
              </w:rPr>
              <w:t>三</w:t>
            </w:r>
          </w:p>
        </w:tc>
        <w:tc>
          <w:tcPr>
            <w:tcW w:w="2268" w:type="dxa"/>
          </w:tcPr>
          <w:p>
            <w:pPr>
              <w:spacing w:line="360" w:lineRule="auto"/>
              <w:ind w:firstLine="0" w:firstLineChars="0"/>
              <w:jc w:val="center"/>
            </w:pPr>
            <w:r>
              <w:rPr>
                <w:rFonts w:hint="eastAsia"/>
              </w:rPr>
              <w:t>三</w:t>
            </w:r>
          </w:p>
        </w:tc>
        <w:tc>
          <w:tcPr>
            <w:tcW w:w="2324" w:type="dxa"/>
          </w:tcPr>
          <w:p>
            <w:pPr>
              <w:spacing w:line="360" w:lineRule="auto"/>
              <w:ind w:firstLine="0" w:firstLineChars="0"/>
              <w:jc w:val="center"/>
            </w:pPr>
            <w:r>
              <w:rPr>
                <w:rFonts w:hint="eastAsia"/>
              </w:rPr>
              <w:t>三</w:t>
            </w:r>
          </w:p>
        </w:tc>
      </w:tr>
    </w:tbl>
    <w:p>
      <w:pPr>
        <w:spacing w:line="360" w:lineRule="auto"/>
        <w:ind w:firstLine="0" w:firstLineChars="0"/>
      </w:pPr>
    </w:p>
    <w:p/>
    <w:sectPr>
      <w:footerReference r:id="rId9" w:type="default"/>
      <w:pgSz w:w="11906" w:h="16838"/>
      <w:pgMar w:top="1440" w:right="1797" w:bottom="1440" w:left="1797"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auto"/>
    <w:pitch w:val="default"/>
    <w:sig w:usb0="A00002EF" w:usb1="4000207B" w:usb2="00000000" w:usb3="00000000" w:csb0="2000019F" w:csb1="00000000"/>
  </w:font>
  <w:font w:name="MingLiU">
    <w:panose1 w:val="02020509000000000000"/>
    <w:charset w:val="88"/>
    <w:family w:val="moder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017467"/>
    <w:rsid w:val="22CA16B5"/>
    <w:rsid w:val="7C0174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eastAsia="仿宋" w:asciiTheme="minorHAnsi" w:hAnsiTheme="minorHAnsi" w:cstheme="minorBidi"/>
      <w:kern w:val="2"/>
      <w:sz w:val="32"/>
      <w:szCs w:val="22"/>
      <w:lang w:val="en-US" w:eastAsia="zh-CN" w:bidi="ar-SA"/>
    </w:rPr>
  </w:style>
  <w:style w:type="paragraph" w:styleId="2">
    <w:name w:val="heading 1"/>
    <w:basedOn w:val="1"/>
    <w:next w:val="1"/>
    <w:link w:val="14"/>
    <w:qFormat/>
    <w:uiPriority w:val="9"/>
    <w:pPr>
      <w:keepNext/>
      <w:keepLines/>
      <w:ind w:firstLine="0" w:firstLineChars="0"/>
      <w:jc w:val="left"/>
      <w:outlineLvl w:val="0"/>
    </w:pPr>
    <w:rPr>
      <w:b/>
      <w:bCs/>
      <w:kern w:val="44"/>
      <w:szCs w:val="44"/>
    </w:rPr>
  </w:style>
  <w:style w:type="paragraph" w:styleId="3">
    <w:name w:val="heading 2"/>
    <w:basedOn w:val="1"/>
    <w:next w:val="1"/>
    <w:unhideWhenUsed/>
    <w:qFormat/>
    <w:uiPriority w:val="9"/>
    <w:pPr>
      <w:keepNext/>
      <w:keepLines/>
      <w:ind w:firstLine="0" w:firstLineChars="0"/>
      <w:jc w:val="left"/>
      <w:outlineLvl w:val="1"/>
    </w:pPr>
    <w:rPr>
      <w:rFonts w:asciiTheme="majorHAnsi" w:hAnsiTheme="majorHAnsi" w:cstheme="majorBidi"/>
      <w:b/>
      <w:bCs/>
      <w:szCs w:val="32"/>
    </w:rPr>
  </w:style>
  <w:style w:type="paragraph" w:styleId="4">
    <w:name w:val="heading 3"/>
    <w:basedOn w:val="1"/>
    <w:next w:val="1"/>
    <w:unhideWhenUsed/>
    <w:qFormat/>
    <w:uiPriority w:val="9"/>
    <w:pPr>
      <w:keepNext/>
      <w:keepLines/>
      <w:ind w:firstLine="0" w:firstLineChars="0"/>
      <w:outlineLvl w:val="2"/>
    </w:pPr>
    <w:rPr>
      <w:b/>
      <w:bCs/>
      <w:szCs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character" w:customStyle="1" w:styleId="14">
    <w:name w:val="标题 1 Char"/>
    <w:basedOn w:val="12"/>
    <w:link w:val="2"/>
    <w:qFormat/>
    <w:uiPriority w:val="9"/>
    <w:rPr>
      <w:b/>
      <w:bCs/>
      <w:kern w:val="44"/>
      <w:szCs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2019-11-19T01:03:00Z</dcterms:created>
  <dc:creator>林裕华</dc:creator>
  <cp:lastModifiedBy>林裕华</cp:lastModifiedBy>
  <dcterms:modified xsi:type="dcterms:W3CDTF">2019-11-19T08:01:46Z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