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2"/>
        <w:rPr>
          <w:rFonts w:eastAsia="华文新魏"/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  <w:bookmarkStart w:id="33" w:name="_GoBack"/>
      <w:bookmarkEnd w:id="33"/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86" w:leftChars="41" w:right="101" w:firstLine="621" w:firstLineChars="119"/>
        <w:jc w:val="center"/>
        <w:rPr>
          <w:rFonts w:ascii="黑体" w:hAnsi="黑体" w:eastAsia="黑体" w:cs="黑体"/>
          <w:b/>
          <w:sz w:val="52"/>
          <w:szCs w:val="52"/>
        </w:rPr>
      </w:pPr>
      <w:r>
        <w:rPr>
          <w:rFonts w:hint="eastAsia" w:ascii="黑体" w:hAnsi="黑体" w:eastAsia="黑体" w:cs="黑体"/>
          <w:b/>
          <w:sz w:val="52"/>
          <w:szCs w:val="52"/>
        </w:rPr>
        <w:t>广西专家信息管理子系统</w:t>
      </w:r>
    </w:p>
    <w:p>
      <w:pPr>
        <w:ind w:left="86" w:leftChars="41" w:right="101" w:firstLine="621" w:firstLineChars="119"/>
        <w:jc w:val="center"/>
        <w:rPr>
          <w:rFonts w:ascii="黑体" w:hAnsi="黑体" w:eastAsia="黑体" w:cs="黑体"/>
          <w:b/>
          <w:sz w:val="52"/>
          <w:szCs w:val="52"/>
        </w:rPr>
      </w:pPr>
      <w:r>
        <w:rPr>
          <w:rFonts w:hint="eastAsia" w:ascii="黑体" w:hAnsi="黑体" w:eastAsia="黑体" w:cs="黑体"/>
          <w:b/>
          <w:sz w:val="52"/>
          <w:szCs w:val="52"/>
        </w:rPr>
        <w:t>评标专家操作手册</w:t>
      </w: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spacing w:line="240" w:lineRule="auto"/>
        <w:ind w:firstLine="0" w:firstLineChars="0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sdt>
      <w:sdtPr>
        <w:rPr>
          <w:rFonts w:ascii="宋体" w:hAnsi="宋体"/>
          <w:kern w:val="0"/>
          <w:szCs w:val="20"/>
        </w:rPr>
        <w:id w:val="-693926918"/>
        <w:docPartObj>
          <w:docPartGallery w:val="Table of Contents"/>
          <w:docPartUnique/>
        </w:docPartObj>
      </w:sdtPr>
      <w:sdtEndPr>
        <w:rPr>
          <w:rFonts w:ascii="宋体" w:hAnsi="宋体"/>
          <w:kern w:val="0"/>
          <w:sz w:val="20"/>
          <w:szCs w:val="20"/>
        </w:rPr>
      </w:sdtEndPr>
      <w:sdtContent>
        <w:p>
          <w:pPr>
            <w:jc w:val="center"/>
          </w:pPr>
          <w:r>
            <w:rPr>
              <w:rFonts w:ascii="宋体" w:hAnsi="宋体"/>
            </w:rPr>
            <w:t>目录</w:t>
          </w:r>
        </w:p>
        <w:p>
          <w:pPr>
            <w:pStyle w:val="4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"_Toc3429" </w:instrText>
          </w:r>
          <w:r>
            <w:fldChar w:fldCharType="separate"/>
          </w:r>
          <w:sdt>
            <w:sdtPr>
              <w:rPr>
                <w:rFonts w:ascii="Times New Roman" w:hAnsi="Times New Roman"/>
                <w:kern w:val="2"/>
                <w:sz w:val="24"/>
                <w:szCs w:val="24"/>
              </w:rPr>
              <w:id w:val="147460809"/>
              <w:placeholder>
                <w:docPart w:val="{e5e2cacf-8fe6-4313-930d-d1de7d390ec3}"/>
              </w:placeholder>
            </w:sdtPr>
            <w:sdtEndPr>
              <w:rPr>
                <w:rFonts w:ascii="Times New Roman" w:hAnsi="Times New Roman"/>
                <w:kern w:val="2"/>
                <w:sz w:val="24"/>
                <w:szCs w:val="24"/>
              </w:rPr>
            </w:sdtEndPr>
            <w:sdtContent>
              <w:r>
                <w:rPr>
                  <w:rFonts w:hint="eastAsia" w:ascii="Times New Roman" w:hAnsi="Times New Roman"/>
                </w:rPr>
                <w:t>一、 评标专家操作手册</w:t>
              </w:r>
            </w:sdtContent>
          </w:sdt>
          <w:r>
            <w:tab/>
          </w:r>
          <w:r>
            <w:t>3</w:t>
          </w:r>
          <w:r>
            <w:fldChar w:fldCharType="end"/>
          </w:r>
        </w:p>
        <w:p>
          <w:pPr>
            <w:pStyle w:val="46"/>
            <w:tabs>
              <w:tab w:val="right" w:leader="dot" w:pos="8312"/>
            </w:tabs>
            <w:ind w:left="420"/>
          </w:pPr>
          <w:r>
            <w:fldChar w:fldCharType="begin"/>
          </w:r>
          <w:r>
            <w:instrText xml:space="preserve"> HYPERLINK \l "_Toc23097" </w:instrText>
          </w:r>
          <w:r>
            <w:fldChar w:fldCharType="separate"/>
          </w:r>
          <w:sdt>
            <w:sdtPr>
              <w:rPr>
                <w:rFonts w:ascii="Times New Roman" w:hAnsi="Times New Roman"/>
                <w:kern w:val="2"/>
                <w:sz w:val="24"/>
                <w:szCs w:val="24"/>
              </w:rPr>
              <w:id w:val="-544982063"/>
              <w:placeholder>
                <w:docPart w:val="{934f6925-123b-4d01-a078-469d1dd9e1b3}"/>
              </w:placeholder>
            </w:sdtPr>
            <w:sdtEndPr>
              <w:rPr>
                <w:rFonts w:ascii="Times New Roman" w:hAnsi="Times New Roman"/>
                <w:kern w:val="2"/>
                <w:sz w:val="24"/>
                <w:szCs w:val="24"/>
              </w:rPr>
            </w:sdtEndPr>
            <w:sdtContent>
              <w:r>
                <w:rPr>
                  <w:rFonts w:ascii="Times New Roman" w:hAnsi="Times New Roman"/>
                </w:rPr>
                <w:t xml:space="preserve">1.1、 </w:t>
              </w:r>
              <w:r>
                <w:rPr>
                  <w:rFonts w:hint="eastAsia" w:ascii="Times New Roman" w:hAnsi="Times New Roman"/>
                </w:rPr>
                <w:t>系统登录</w:t>
              </w:r>
            </w:sdtContent>
          </w:sdt>
          <w:r>
            <w:tab/>
          </w:r>
          <w:r>
            <w:t>3</w:t>
          </w:r>
          <w:r>
            <w:fldChar w:fldCharType="end"/>
          </w:r>
        </w:p>
        <w:p>
          <w:pPr>
            <w:pStyle w:val="46"/>
            <w:tabs>
              <w:tab w:val="right" w:leader="dot" w:pos="8312"/>
            </w:tabs>
            <w:ind w:left="420"/>
          </w:pPr>
          <w:r>
            <w:fldChar w:fldCharType="begin"/>
          </w:r>
          <w:r>
            <w:instrText xml:space="preserve"> HYPERLINK \l "_Toc18057" </w:instrText>
          </w:r>
          <w:r>
            <w:fldChar w:fldCharType="separate"/>
          </w:r>
          <w:sdt>
            <w:sdtPr>
              <w:rPr>
                <w:rFonts w:ascii="Times New Roman" w:hAnsi="Times New Roman"/>
                <w:kern w:val="2"/>
                <w:sz w:val="24"/>
                <w:szCs w:val="24"/>
              </w:rPr>
              <w:id w:val="230048016"/>
              <w:placeholder>
                <w:docPart w:val="{12082f80-9925-4d30-a5a2-f594b75bc2f3}"/>
              </w:placeholder>
            </w:sdtPr>
            <w:sdtEndPr>
              <w:rPr>
                <w:rFonts w:ascii="Times New Roman" w:hAnsi="Times New Roman"/>
                <w:kern w:val="2"/>
                <w:sz w:val="24"/>
                <w:szCs w:val="24"/>
              </w:rPr>
            </w:sdtEndPr>
            <w:sdtContent>
              <w:r>
                <w:rPr>
                  <w:rFonts w:ascii="Times New Roman" w:hAnsi="Times New Roman"/>
                </w:rPr>
                <w:t xml:space="preserve">1.2、 </w:t>
              </w:r>
              <w:r>
                <w:rPr>
                  <w:rFonts w:hint="eastAsia" w:ascii="Times New Roman" w:hAnsi="Times New Roman"/>
                </w:rPr>
                <w:t>专家信息申报</w:t>
              </w:r>
            </w:sdtContent>
          </w:sdt>
          <w:r>
            <w:tab/>
          </w:r>
          <w:r>
            <w:t>4</w:t>
          </w:r>
          <w:r>
            <w:fldChar w:fldCharType="end"/>
          </w:r>
        </w:p>
        <w:p>
          <w:pPr>
            <w:pStyle w:val="47"/>
            <w:tabs>
              <w:tab w:val="right" w:leader="dot" w:pos="8312"/>
            </w:tabs>
            <w:ind w:left="840"/>
          </w:pPr>
          <w:r>
            <w:fldChar w:fldCharType="begin"/>
          </w:r>
          <w:r>
            <w:instrText xml:space="preserve"> HYPERLINK \l "_Toc32446" </w:instrText>
          </w:r>
          <w:r>
            <w:fldChar w:fldCharType="separate"/>
          </w:r>
          <w:sdt>
            <w:sdtPr>
              <w:rPr>
                <w:kern w:val="2"/>
                <w:sz w:val="24"/>
                <w:szCs w:val="24"/>
              </w:rPr>
              <w:id w:val="1494215087"/>
              <w:placeholder>
                <w:docPart w:val="{57e164c1-cfc7-498c-9f23-cadcf9149d32}"/>
              </w:placeholder>
            </w:sdtPr>
            <w:sdtEndPr>
              <w:rPr>
                <w:kern w:val="2"/>
                <w:sz w:val="24"/>
                <w:szCs w:val="24"/>
              </w:rPr>
            </w:sdtEndPr>
            <w:sdtContent>
              <w:r>
                <w:t xml:space="preserve">1.2.1、 </w:t>
              </w:r>
              <w:r>
                <w:rPr>
                  <w:rFonts w:hint="eastAsia"/>
                </w:rPr>
                <w:t>基本信息维护</w:t>
              </w:r>
            </w:sdtContent>
          </w:sdt>
          <w:r>
            <w:tab/>
          </w:r>
          <w:r>
            <w:t>4</w:t>
          </w:r>
          <w:r>
            <w:fldChar w:fldCharType="end"/>
          </w:r>
        </w:p>
        <w:p>
          <w:pPr>
            <w:pStyle w:val="47"/>
            <w:tabs>
              <w:tab w:val="right" w:leader="dot" w:pos="8312"/>
            </w:tabs>
            <w:ind w:left="840"/>
          </w:pPr>
          <w:r>
            <w:fldChar w:fldCharType="begin"/>
          </w:r>
          <w:r>
            <w:instrText xml:space="preserve"> HYPERLINK \l "_Toc15648" </w:instrText>
          </w:r>
          <w:r>
            <w:fldChar w:fldCharType="separate"/>
          </w:r>
          <w:sdt>
            <w:sdtPr>
              <w:rPr>
                <w:kern w:val="2"/>
                <w:sz w:val="24"/>
                <w:szCs w:val="24"/>
              </w:rPr>
              <w:id w:val="1060911254"/>
              <w:placeholder>
                <w:docPart w:val="{be461bb9-f497-4afa-b3a2-50c9db2d9a1d}"/>
              </w:placeholder>
            </w:sdtPr>
            <w:sdtEndPr>
              <w:rPr>
                <w:kern w:val="2"/>
                <w:sz w:val="24"/>
                <w:szCs w:val="24"/>
              </w:rPr>
            </w:sdtEndPr>
            <w:sdtContent>
              <w:r>
                <w:t xml:space="preserve">1.2.2、 </w:t>
              </w:r>
              <w:r>
                <w:rPr>
                  <w:rFonts w:hint="eastAsia"/>
                </w:rPr>
                <w:t>评委请假</w:t>
              </w:r>
            </w:sdtContent>
          </w:sdt>
          <w:r>
            <w:tab/>
          </w:r>
          <w:r>
            <w:t>7</w:t>
          </w:r>
          <w:r>
            <w:fldChar w:fldCharType="end"/>
          </w:r>
        </w:p>
        <w:p>
          <w:pPr>
            <w:pStyle w:val="47"/>
            <w:tabs>
              <w:tab w:val="right" w:leader="dot" w:pos="8312"/>
            </w:tabs>
            <w:ind w:left="840"/>
          </w:pPr>
          <w:r>
            <w:fldChar w:fldCharType="begin"/>
          </w:r>
          <w:r>
            <w:instrText xml:space="preserve"> HYPERLINK \l "_Toc29094" </w:instrText>
          </w:r>
          <w:r>
            <w:fldChar w:fldCharType="separate"/>
          </w:r>
          <w:sdt>
            <w:sdtPr>
              <w:rPr>
                <w:kern w:val="2"/>
                <w:sz w:val="24"/>
                <w:szCs w:val="24"/>
              </w:rPr>
              <w:id w:val="782387023"/>
              <w:placeholder>
                <w:docPart w:val="{bf0ce9fc-b8e3-4117-a11d-ebffc66054cd}"/>
              </w:placeholder>
            </w:sdtPr>
            <w:sdtEndPr>
              <w:rPr>
                <w:kern w:val="2"/>
                <w:sz w:val="24"/>
                <w:szCs w:val="24"/>
              </w:rPr>
            </w:sdtEndPr>
            <w:sdtContent>
              <w:r>
                <w:t xml:space="preserve">1.2.3、 </w:t>
              </w:r>
              <w:r>
                <w:rPr>
                  <w:rFonts w:hint="eastAsia"/>
                </w:rPr>
                <w:t>评标记录查看</w:t>
              </w:r>
            </w:sdtContent>
          </w:sdt>
          <w:r>
            <w:tab/>
          </w:r>
          <w:r>
            <w:t>8</w:t>
          </w:r>
          <w:r>
            <w:fldChar w:fldCharType="end"/>
          </w:r>
        </w:p>
        <w:p>
          <w:pPr>
            <w:pStyle w:val="47"/>
            <w:tabs>
              <w:tab w:val="right" w:leader="dot" w:pos="8312"/>
            </w:tabs>
            <w:ind w:left="840"/>
          </w:pPr>
          <w:r>
            <w:fldChar w:fldCharType="begin"/>
          </w:r>
          <w:r>
            <w:instrText xml:space="preserve"> HYPERLINK \l "_Toc22274" </w:instrText>
          </w:r>
          <w:r>
            <w:fldChar w:fldCharType="separate"/>
          </w:r>
          <w:sdt>
            <w:sdtPr>
              <w:rPr>
                <w:kern w:val="2"/>
                <w:sz w:val="24"/>
                <w:szCs w:val="24"/>
              </w:rPr>
              <w:id w:val="-148366368"/>
              <w:placeholder>
                <w:docPart w:val="{0d478a21-7657-45f7-921d-c79ca106cea4}"/>
              </w:placeholder>
            </w:sdtPr>
            <w:sdtEndPr>
              <w:rPr>
                <w:kern w:val="2"/>
                <w:sz w:val="24"/>
                <w:szCs w:val="24"/>
              </w:rPr>
            </w:sdtEndPr>
            <w:sdtContent>
              <w:r>
                <w:t xml:space="preserve">1.2.4、 </w:t>
              </w:r>
              <w:r>
                <w:rPr>
                  <w:rFonts w:hint="eastAsia"/>
                </w:rPr>
                <w:t>抽取统计查看</w:t>
              </w:r>
            </w:sdtContent>
          </w:sdt>
          <w:r>
            <w:tab/>
          </w:r>
          <w:r>
            <w:t>9</w:t>
          </w:r>
          <w:r>
            <w:fldChar w:fldCharType="end"/>
          </w:r>
        </w:p>
        <w:p>
          <w:pPr>
            <w:pStyle w:val="47"/>
            <w:tabs>
              <w:tab w:val="right" w:leader="dot" w:pos="8312"/>
            </w:tabs>
            <w:ind w:left="840"/>
          </w:pPr>
          <w:r>
            <w:fldChar w:fldCharType="begin"/>
          </w:r>
          <w:r>
            <w:instrText xml:space="preserve"> HYPERLINK \l "_Toc26710" </w:instrText>
          </w:r>
          <w:r>
            <w:fldChar w:fldCharType="separate"/>
          </w:r>
          <w:sdt>
            <w:sdtPr>
              <w:rPr>
                <w:kern w:val="2"/>
                <w:sz w:val="24"/>
                <w:szCs w:val="24"/>
              </w:rPr>
              <w:id w:val="-1499573467"/>
              <w:placeholder>
                <w:docPart w:val="{3c1c06ae-bd5b-49e5-af3b-6515f6232e47}"/>
              </w:placeholder>
            </w:sdtPr>
            <w:sdtEndPr>
              <w:rPr>
                <w:kern w:val="2"/>
                <w:sz w:val="24"/>
                <w:szCs w:val="24"/>
              </w:rPr>
            </w:sdtEndPr>
            <w:sdtContent>
              <w:r>
                <w:t xml:space="preserve">1.2.5、 </w:t>
              </w:r>
              <w:r>
                <w:rPr>
                  <w:rFonts w:hint="eastAsia"/>
                </w:rPr>
                <w:t>专家出库</w:t>
              </w:r>
            </w:sdtContent>
          </w:sdt>
          <w:r>
            <w:tab/>
          </w:r>
          <w:r>
            <w:t>9</w:t>
          </w:r>
          <w:r>
            <w:fldChar w:fldCharType="end"/>
          </w:r>
        </w:p>
        <w:p>
          <w:pPr>
            <w:pStyle w:val="47"/>
            <w:tabs>
              <w:tab w:val="right" w:leader="dot" w:pos="8312"/>
            </w:tabs>
            <w:ind w:left="840"/>
          </w:pPr>
          <w:r>
            <w:fldChar w:fldCharType="begin"/>
          </w:r>
          <w:r>
            <w:instrText xml:space="preserve"> HYPERLINK \l "_Toc20879" </w:instrText>
          </w:r>
          <w:r>
            <w:fldChar w:fldCharType="separate"/>
          </w:r>
          <w:sdt>
            <w:sdtPr>
              <w:rPr>
                <w:kern w:val="2"/>
                <w:sz w:val="24"/>
                <w:szCs w:val="24"/>
              </w:rPr>
              <w:id w:val="185260097"/>
              <w:placeholder>
                <w:docPart w:val="{7423c892-7520-486d-9664-4f8bc61c84f4}"/>
              </w:placeholder>
            </w:sdtPr>
            <w:sdtEndPr>
              <w:rPr>
                <w:kern w:val="2"/>
                <w:sz w:val="24"/>
                <w:szCs w:val="24"/>
              </w:rPr>
            </w:sdtEndPr>
            <w:sdtContent>
              <w:r>
                <w:t xml:space="preserve">1.2.6、 </w:t>
              </w:r>
              <w:r>
                <w:rPr>
                  <w:rFonts w:hint="eastAsia"/>
                </w:rPr>
                <w:t>密码修改</w:t>
              </w:r>
            </w:sdtContent>
          </w:sdt>
          <w:r>
            <w:tab/>
          </w:r>
          <w:r>
            <w:t>9</w:t>
          </w:r>
          <w:r>
            <w:fldChar w:fldCharType="end"/>
          </w:r>
        </w:p>
        <w:p>
          <w:pPr>
            <w:pStyle w:val="47"/>
            <w:tabs>
              <w:tab w:val="right" w:leader="dot" w:pos="8312"/>
            </w:tabs>
            <w:ind w:left="840"/>
          </w:pPr>
          <w:r>
            <w:fldChar w:fldCharType="begin"/>
          </w:r>
          <w:r>
            <w:instrText xml:space="preserve"> HYPERLINK \l "_Toc23035" </w:instrText>
          </w:r>
          <w:r>
            <w:fldChar w:fldCharType="separate"/>
          </w:r>
          <w:sdt>
            <w:sdtPr>
              <w:rPr>
                <w:kern w:val="2"/>
                <w:sz w:val="24"/>
                <w:szCs w:val="24"/>
              </w:rPr>
              <w:id w:val="-1932424498"/>
              <w:placeholder>
                <w:docPart w:val="{7a19c91c-b7ea-48ed-b3c0-b08d30b5f891}"/>
              </w:placeholder>
            </w:sdtPr>
            <w:sdtEndPr>
              <w:rPr>
                <w:kern w:val="2"/>
                <w:sz w:val="24"/>
                <w:szCs w:val="24"/>
              </w:rPr>
            </w:sdtEndPr>
            <w:sdtContent>
              <w:r>
                <w:t xml:space="preserve">1.2.7、 </w:t>
              </w:r>
              <w:r>
                <w:rPr>
                  <w:rFonts w:hint="eastAsia"/>
                </w:rPr>
                <w:t>政策法规</w:t>
              </w:r>
            </w:sdtContent>
          </w:sdt>
          <w:r>
            <w:tab/>
          </w:r>
          <w:r>
            <w:t>10</w:t>
          </w:r>
          <w:r>
            <w:fldChar w:fldCharType="end"/>
          </w:r>
        </w:p>
        <w:p>
          <w:pPr>
            <w:pStyle w:val="47"/>
            <w:tabs>
              <w:tab w:val="right" w:leader="dot" w:pos="8312"/>
            </w:tabs>
            <w:ind w:left="840"/>
          </w:pPr>
          <w:r>
            <w:fldChar w:fldCharType="begin"/>
          </w:r>
          <w:r>
            <w:instrText xml:space="preserve"> HYPERLINK \l "_Toc24931" </w:instrText>
          </w:r>
          <w:r>
            <w:fldChar w:fldCharType="separate"/>
          </w:r>
          <w:sdt>
            <w:sdtPr>
              <w:rPr>
                <w:kern w:val="2"/>
                <w:sz w:val="24"/>
                <w:szCs w:val="24"/>
              </w:rPr>
              <w:id w:val="1820924624"/>
              <w:placeholder>
                <w:docPart w:val="{b322dac7-dfc2-4ebe-88bb-11cc0d8bdfef}"/>
              </w:placeholder>
            </w:sdtPr>
            <w:sdtEndPr>
              <w:rPr>
                <w:kern w:val="2"/>
                <w:sz w:val="24"/>
                <w:szCs w:val="24"/>
              </w:rPr>
            </w:sdtEndPr>
            <w:sdtContent>
              <w:r>
                <w:t xml:space="preserve">1.2.8、 </w:t>
              </w:r>
              <w:r>
                <w:rPr>
                  <w:rFonts w:hint="eastAsia"/>
                </w:rPr>
                <w:t>在线练习</w:t>
              </w:r>
            </w:sdtContent>
          </w:sdt>
          <w:r>
            <w:tab/>
          </w:r>
          <w:r>
            <w:t>10</w:t>
          </w:r>
          <w:r>
            <w:fldChar w:fldCharType="end"/>
          </w:r>
        </w:p>
        <w:p>
          <w:pPr>
            <w:pStyle w:val="47"/>
            <w:tabs>
              <w:tab w:val="right" w:leader="dot" w:pos="8312"/>
            </w:tabs>
            <w:ind w:left="840"/>
          </w:pPr>
          <w:r>
            <w:fldChar w:fldCharType="begin"/>
          </w:r>
          <w:r>
            <w:instrText xml:space="preserve"> HYPERLINK \l "_Toc25174" </w:instrText>
          </w:r>
          <w:r>
            <w:fldChar w:fldCharType="separate"/>
          </w:r>
          <w:sdt>
            <w:sdtPr>
              <w:rPr>
                <w:kern w:val="2"/>
                <w:sz w:val="24"/>
                <w:szCs w:val="24"/>
              </w:rPr>
              <w:id w:val="-350035640"/>
              <w:placeholder>
                <w:docPart w:val="{f8de04e0-b582-426e-b1c5-9ac59e606194}"/>
              </w:placeholder>
            </w:sdtPr>
            <w:sdtEndPr>
              <w:rPr>
                <w:kern w:val="2"/>
                <w:sz w:val="24"/>
                <w:szCs w:val="24"/>
              </w:rPr>
            </w:sdtEndPr>
            <w:sdtContent>
              <w:r>
                <w:t xml:space="preserve">1.2.9、 </w:t>
              </w:r>
              <w:r>
                <w:rPr>
                  <w:rFonts w:hint="eastAsia"/>
                </w:rPr>
                <w:t>练习查询</w:t>
              </w:r>
            </w:sdtContent>
          </w:sdt>
          <w:r>
            <w:tab/>
          </w:r>
          <w:r>
            <w:t>11</w:t>
          </w:r>
          <w:r>
            <w:fldChar w:fldCharType="end"/>
          </w:r>
        </w:p>
        <w:p>
          <w:pPr>
            <w:pStyle w:val="47"/>
            <w:tabs>
              <w:tab w:val="right" w:leader="dot" w:pos="8312"/>
            </w:tabs>
            <w:ind w:left="840"/>
          </w:pPr>
          <w:r>
            <w:fldChar w:fldCharType="begin"/>
          </w:r>
          <w:r>
            <w:instrText xml:space="preserve"> HYPERLINK \l "_Toc28269" </w:instrText>
          </w:r>
          <w:r>
            <w:fldChar w:fldCharType="separate"/>
          </w:r>
          <w:sdt>
            <w:sdtPr>
              <w:rPr>
                <w:kern w:val="2"/>
                <w:sz w:val="24"/>
                <w:szCs w:val="24"/>
              </w:rPr>
              <w:id w:val="79876068"/>
              <w:placeholder>
                <w:docPart w:val="{6f1adada-e4de-4713-afe6-96a2d76709c1}"/>
              </w:placeholder>
            </w:sdtPr>
            <w:sdtEndPr>
              <w:rPr>
                <w:kern w:val="2"/>
                <w:sz w:val="24"/>
                <w:szCs w:val="24"/>
              </w:rPr>
            </w:sdtEndPr>
            <w:sdtContent>
              <w:r>
                <w:t xml:space="preserve">1.2.10、 </w:t>
              </w:r>
              <w:r>
                <w:rPr>
                  <w:rFonts w:hint="eastAsia"/>
                </w:rPr>
                <w:t>在线视频学习</w:t>
              </w:r>
            </w:sdtContent>
          </w:sdt>
          <w:r>
            <w:tab/>
          </w:r>
          <w:r>
            <w:t>11</w:t>
          </w:r>
          <w:r>
            <w:fldChar w:fldCharType="end"/>
          </w:r>
        </w:p>
      </w:sdtContent>
    </w:sdt>
    <w:p>
      <w:pPr>
        <w:pStyle w:val="33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spacing w:before="0" w:after="0" w:line="240" w:lineRule="auto"/>
      </w:pPr>
      <w:bookmarkStart w:id="0" w:name="_Toc15696"/>
      <w:bookmarkStart w:id="1" w:name="_Toc29719"/>
      <w:bookmarkStart w:id="2" w:name="_Toc3429"/>
      <w:bookmarkStart w:id="3" w:name="_Toc8577"/>
      <w:bookmarkStart w:id="4" w:name="_Toc13406"/>
      <w:r>
        <w:rPr>
          <w:rFonts w:hint="eastAsia"/>
        </w:rPr>
        <w:t>评标专家操作手册</w:t>
      </w:r>
      <w:bookmarkEnd w:id="0"/>
      <w:bookmarkEnd w:id="1"/>
      <w:bookmarkEnd w:id="2"/>
    </w:p>
    <w:bookmarkEnd w:id="3"/>
    <w:bookmarkEnd w:id="4"/>
    <w:p>
      <w:pPr>
        <w:pStyle w:val="3"/>
        <w:tabs>
          <w:tab w:val="left" w:pos="425"/>
          <w:tab w:val="clear" w:pos="567"/>
        </w:tabs>
        <w:spacing w:before="0" w:after="0" w:line="240" w:lineRule="auto"/>
      </w:pPr>
      <w:bookmarkStart w:id="5" w:name="_Toc30222"/>
      <w:bookmarkStart w:id="6" w:name="_Toc23097"/>
      <w:bookmarkStart w:id="7" w:name="_Toc23703"/>
      <w:r>
        <w:rPr>
          <w:rFonts w:hint="eastAsia"/>
        </w:rPr>
        <w:t>系统登录</w:t>
      </w:r>
      <w:bookmarkEnd w:id="5"/>
      <w:bookmarkEnd w:id="6"/>
      <w:bookmarkEnd w:id="7"/>
    </w:p>
    <w:p>
      <w:pPr>
        <w:pStyle w:val="41"/>
        <w:rPr>
          <w:lang w:val="en-US"/>
        </w:rPr>
      </w:pPr>
      <w:r>
        <w:rPr>
          <w:rFonts w:hint="eastAsia"/>
          <w:lang w:val="en-US"/>
        </w:rPr>
        <w:t>打开专家信息管理子系统登录页面，网址如下：http://202.103.240.162:8081/yytzbidder/pwmemberLogin?type=3，如下图所示，输入账号密码后登录系统：</w:t>
      </w:r>
    </w:p>
    <w:p>
      <w:pPr>
        <w:widowControl/>
        <w:ind w:firstLine="0" w:firstLineChars="0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222875" cy="2270760"/>
            <wp:effectExtent l="0" t="0" r="15875" b="1524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1"/>
        <w:rPr>
          <w:lang w:val="en-US"/>
        </w:rPr>
      </w:pPr>
      <w:r>
        <w:rPr>
          <w:rFonts w:hint="eastAsia"/>
          <w:lang w:val="en-US"/>
        </w:rPr>
        <w:t>输入登录名（</w:t>
      </w:r>
      <w:r>
        <w:rPr>
          <w:rFonts w:hint="eastAsia"/>
          <w:b/>
          <w:bCs/>
          <w:color w:val="FF0000"/>
          <w:lang w:val="en-US"/>
        </w:rPr>
        <w:t>默认为身份证号或手机号</w:t>
      </w:r>
      <w:r>
        <w:rPr>
          <w:rFonts w:hint="eastAsia"/>
          <w:lang w:val="en-US"/>
        </w:rPr>
        <w:t>）、密码（</w:t>
      </w:r>
      <w:r>
        <w:rPr>
          <w:rFonts w:hint="eastAsia"/>
          <w:b/>
          <w:bCs/>
          <w:color w:val="FF0000"/>
          <w:lang w:val="en-US"/>
        </w:rPr>
        <w:t>初始密码Gxggzy@123</w:t>
      </w:r>
      <w:r>
        <w:rPr>
          <w:rFonts w:hint="eastAsia"/>
          <w:lang w:val="en-US"/>
        </w:rPr>
        <w:t>），填写完成后点击立即登录按钮，登录成功后需要通过手机号短信验证，点击获取验证码，输入如下对话框后，点击提交，如下图所示：</w:t>
      </w:r>
      <w:bookmarkStart w:id="8" w:name="_Toc16338"/>
      <w:r>
        <w:rPr>
          <w:rFonts w:hint="eastAsia"/>
          <w:lang w:val="en-US"/>
        </w:rPr>
        <w:t xml:space="preserve"> </w:t>
      </w:r>
      <w:r>
        <w:rPr>
          <w:rFonts w:ascii="宋体" w:cs="宋体"/>
          <w:kern w:val="0"/>
          <w:sz w:val="24"/>
          <w:lang w:val="en-US"/>
        </w:rPr>
        <w:drawing>
          <wp:inline distT="0" distB="0" distL="114300" distR="114300">
            <wp:extent cx="8794115" cy="1425575"/>
            <wp:effectExtent l="0" t="0" r="6985" b="317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9411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rPr>
          <w:b/>
          <w:bCs/>
          <w:color w:val="FF0000"/>
        </w:rPr>
      </w:pPr>
      <w:r>
        <w:rPr>
          <w:rFonts w:hint="eastAsia"/>
        </w:rPr>
        <w:t>短信验证成功后，调转到密码修改页面，输入新密码，点击保存后，通过新密码登录系统，如下图所示。</w:t>
      </w:r>
      <w:r>
        <w:rPr>
          <w:rFonts w:hint="eastAsia"/>
          <w:b/>
          <w:bCs/>
          <w:color w:val="FF0000"/>
        </w:rPr>
        <w:t>如忘记密码后也可通过输入初始密码，通过手机验证码进行密码更正。</w:t>
      </w:r>
    </w:p>
    <w:p>
      <w:pPr>
        <w:ind w:firstLineChars="0"/>
      </w:pPr>
      <w:r>
        <w:rPr>
          <w:rFonts w:hint="eastAsia"/>
        </w:rPr>
        <w:t>系统登录成功后，首页如下所示：</w:t>
      </w:r>
    </w:p>
    <w:p>
      <w:pPr>
        <w:widowControl/>
        <w:ind w:firstLine="0" w:firstLineChars="0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318125" cy="2200275"/>
            <wp:effectExtent l="0" t="0" r="15875" b="952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25"/>
          <w:tab w:val="clear" w:pos="567"/>
        </w:tabs>
        <w:spacing w:before="0" w:after="0" w:line="240" w:lineRule="auto"/>
      </w:pPr>
      <w:bookmarkStart w:id="9" w:name="_Toc8362"/>
      <w:bookmarkStart w:id="10" w:name="_Toc18057"/>
      <w:bookmarkStart w:id="11" w:name="_Toc2838"/>
      <w:r>
        <w:rPr>
          <w:rFonts w:hint="eastAsia"/>
        </w:rPr>
        <w:t>专家信息申报</w:t>
      </w:r>
      <w:bookmarkEnd w:id="9"/>
      <w:bookmarkEnd w:id="10"/>
      <w:bookmarkEnd w:id="11"/>
    </w:p>
    <w:p>
      <w:pPr>
        <w:pStyle w:val="4"/>
        <w:widowControl/>
        <w:tabs>
          <w:tab w:val="clear" w:pos="567"/>
        </w:tabs>
        <w:spacing w:before="0" w:after="0" w:line="276" w:lineRule="auto"/>
      </w:pPr>
      <w:bookmarkStart w:id="12" w:name="_Toc32446"/>
      <w:bookmarkStart w:id="13" w:name="_Toc795"/>
      <w:r>
        <w:rPr>
          <w:rFonts w:hint="eastAsia"/>
        </w:rPr>
        <w:t>基本信息维护</w:t>
      </w:r>
      <w:bookmarkEnd w:id="12"/>
      <w:bookmarkEnd w:id="13"/>
    </w:p>
    <w:p>
      <w:pPr>
        <w:ind w:firstLine="630" w:firstLineChars="300"/>
      </w:pPr>
      <w:r>
        <w:rPr>
          <w:rFonts w:hint="eastAsia"/>
          <w:szCs w:val="21"/>
        </w:rPr>
        <w:t>点击首页专家信息维护图标，进入信息填写页面：</w:t>
      </w:r>
    </w:p>
    <w:p>
      <w:pPr>
        <w:widowControl/>
        <w:ind w:firstLine="0" w:firstLineChars="0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334635" cy="2490470"/>
            <wp:effectExtent l="0" t="0" r="18415" b="508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在弹出的页面中，按照要求填写个人基本信息，红星为必填项，如图所示：</w:t>
      </w:r>
    </w:p>
    <w:p>
      <w:pPr>
        <w:widowControl/>
        <w:ind w:firstLine="0" w:firstLineChars="0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294630" cy="5518150"/>
            <wp:effectExtent l="0" t="0" r="1270" b="6350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rPr>
          <w:szCs w:val="21"/>
        </w:rPr>
      </w:pPr>
      <w:r>
        <w:rPr>
          <w:rFonts w:hint="eastAsia"/>
          <w:szCs w:val="21"/>
        </w:rPr>
        <w:t>点击页面中蓝色上传按钮，上传对应内容扫描件，如下图所示：</w:t>
      </w:r>
    </w:p>
    <w:p>
      <w:pPr>
        <w:widowControl/>
        <w:ind w:firstLine="0" w:firstLineChars="0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4410075" cy="590550"/>
            <wp:effectExtent l="0" t="0" r="9525" b="0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  <w:rPr>
          <w:rFonts w:ascii="宋体" w:hAnsi="宋体" w:cs="宋体"/>
          <w:kern w:val="0"/>
          <w:sz w:val="24"/>
          <w:lang w:bidi="ar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   </w:t>
      </w:r>
      <w:r>
        <w:rPr>
          <w:rFonts w:hint="eastAsia"/>
          <w:szCs w:val="21"/>
        </w:rPr>
        <w:t xml:space="preserve"> 当前申请行业选项，选择对应行业，如选择房建市政行业，信息将提交到住建行业主管部门审核，选择水利行业信息提交水利行业主管部门审核。默认一次只能选择一个行业进行入库。</w:t>
      </w:r>
    </w:p>
    <w:p>
      <w:pPr>
        <w:widowControl/>
        <w:ind w:firstLine="0" w:firstLineChars="0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181600" cy="1400175"/>
            <wp:effectExtent l="0" t="0" r="0" b="9525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工作单位填写项，点击挑选按钮从单位库中挑选单位（工作单位用于专家抽取回避），挑选完成后点击上传证明文件（</w:t>
      </w:r>
      <w:r>
        <w:rPr>
          <w:rFonts w:hint="eastAsia"/>
          <w:color w:val="FF0000"/>
          <w:szCs w:val="21"/>
        </w:rPr>
        <w:t>需上传社保缴纳凭证、在职说明（加盖单位公章或国家企业信用信息公示系统查询单位截图）、退休证明文件</w:t>
      </w:r>
      <w:r>
        <w:rPr>
          <w:rFonts w:hint="eastAsia"/>
          <w:szCs w:val="21"/>
        </w:rPr>
        <w:t>），如下图所示</w:t>
      </w:r>
    </w:p>
    <w:p>
      <w:pPr>
        <w:widowControl/>
        <w:ind w:firstLine="0" w:firstLineChars="0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754370" cy="348615"/>
            <wp:effectExtent l="0" t="0" r="17780" b="1333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4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点击评标专业后下拉选择按钮，在列表中选择需入库的行业，此评标专业用于专家的抽取通知。住建行业最多能选择10个专业，水利最多能选择5个专业、交通最多能选择5个专业。主评标专业与抽取通知无关，请选择1~2个主项专业即可，如下图所示。</w:t>
      </w:r>
    </w:p>
    <w:p>
      <w:pPr>
        <w:widowControl/>
        <w:ind w:firstLine="0" w:firstLineChars="0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773420" cy="996315"/>
            <wp:effectExtent l="0" t="0" r="17780" b="13335"/>
            <wp:docPr id="1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  <w:rPr>
          <w:rFonts w:ascii="宋体" w:hAnsi="宋体" w:cs="宋体"/>
          <w:kern w:val="0"/>
          <w:sz w:val="24"/>
          <w:lang w:bidi="ar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   </w:t>
      </w:r>
      <w:r>
        <w:rPr>
          <w:rFonts w:hint="eastAsia"/>
          <w:szCs w:val="21"/>
        </w:rPr>
        <w:t>点击所属地 区下拉选择按钮，在下拉框中选择专家所属地区，基本信息按照选择的所属地区推送至对应主管部门审核，如选择南宁市，且所属行业选择房建市政，则提交信息后将提交到南宁市住建主管部门进行审核。</w:t>
      </w:r>
    </w:p>
    <w:p>
      <w:pPr>
        <w:widowControl/>
        <w:ind w:firstLine="0" w:firstLineChars="0"/>
      </w:pPr>
      <w:r>
        <w:drawing>
          <wp:inline distT="0" distB="0" distL="114300" distR="114300">
            <wp:extent cx="5272405" cy="1984375"/>
            <wp:effectExtent l="0" t="0" r="4445" b="158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</w:pPr>
      <w:r>
        <w:rPr>
          <w:rFonts w:hint="eastAsia"/>
        </w:rPr>
        <w:t>回避单位信息页面，需按实际情况挑选相关回避单位，其中工作单位默认为回避单位，除工作单位外需回避的单位，可从单位库挑选相关单位进行回避，如下图所示：</w:t>
      </w:r>
    </w:p>
    <w:p>
      <w:pPr>
        <w:widowControl/>
        <w:ind w:firstLine="0" w:firstLineChars="0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714365" cy="1109345"/>
            <wp:effectExtent l="0" t="0" r="635" b="14605"/>
            <wp:docPr id="1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</w:pPr>
      <w:r>
        <w:rPr>
          <w:rFonts w:hint="eastAsia"/>
        </w:rPr>
        <w:t>信息填写完成后，点击左上角“提交信息”按钮，提交后信息将提交到对应主管部门审核，审核通过后专家信息入库成功，可用于专家抽取通知。点击“扫描件管理”按钮，可调整已上传的扫描件信息。</w:t>
      </w:r>
      <w:r>
        <w:rPr>
          <w:rFonts w:hint="eastAsia"/>
          <w:color w:val="FF0000"/>
        </w:rPr>
        <w:t>提示：首次入库成功后，如需变更工作单位、评标专业、注册地、职称、资格证书、是否在职需行业主管部门审核，其他内容保存提交后直接通过。</w:t>
      </w:r>
    </w:p>
    <w:p>
      <w:pPr>
        <w:widowControl/>
        <w:ind w:firstLine="0" w:firstLineChars="0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314315" cy="2954655"/>
            <wp:effectExtent l="0" t="0" r="635" b="17145"/>
            <wp:docPr id="1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  <w:rPr>
          <w:rFonts w:ascii="宋体" w:hAnsi="宋体" w:cs="宋体"/>
          <w:kern w:val="0"/>
          <w:sz w:val="24"/>
          <w:lang w:bidi="ar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   </w:t>
      </w:r>
      <w:r>
        <w:rPr>
          <w:rFonts w:hint="eastAsia"/>
          <w:szCs w:val="21"/>
        </w:rPr>
        <w:t>信息提交后，在审核过程中，如需修改信息，点击“撤回”按钮后，可重新修改信息。</w:t>
      </w:r>
    </w:p>
    <w:p>
      <w:pPr>
        <w:widowControl/>
        <w:ind w:firstLine="0" w:firstLineChars="0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314950" cy="2764155"/>
            <wp:effectExtent l="0" t="0" r="0" b="17145"/>
            <wp:docPr id="1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1069"/>
          <w:tab w:val="clear" w:pos="567"/>
        </w:tabs>
      </w:pPr>
      <w:bookmarkStart w:id="14" w:name="_Toc5244"/>
      <w:bookmarkStart w:id="15" w:name="_Toc15648"/>
      <w:r>
        <w:rPr>
          <w:rFonts w:hint="eastAsia"/>
        </w:rPr>
        <w:t>评委请假</w:t>
      </w:r>
      <w:bookmarkEnd w:id="14"/>
      <w:bookmarkEnd w:id="15"/>
    </w:p>
    <w:p>
      <w:pPr>
        <w:ind w:firstLineChars="0"/>
        <w:rPr>
          <w:szCs w:val="21"/>
        </w:rPr>
      </w:pPr>
      <w:r>
        <w:rPr>
          <w:rFonts w:hint="eastAsia"/>
          <w:szCs w:val="21"/>
        </w:rPr>
        <w:t>评委点击首页“评委请假”快捷菜单，进入请假页面，填写请假的日期，请假理由，填写完成后提交即可，无需审核，请假时间范围内不再抽取到该评委：</w:t>
      </w:r>
    </w:p>
    <w:p>
      <w:pPr>
        <w:widowControl/>
        <w:ind w:firstLine="0" w:firstLineChars="0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260340" cy="1936115"/>
            <wp:effectExtent l="0" t="0" r="16510" b="6985"/>
            <wp:docPr id="1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1069"/>
          <w:tab w:val="clear" w:pos="567"/>
        </w:tabs>
      </w:pPr>
      <w:bookmarkStart w:id="16" w:name="_Toc29094"/>
      <w:bookmarkStart w:id="17" w:name="_Toc10285"/>
      <w:r>
        <w:rPr>
          <w:rFonts w:hint="eastAsia"/>
        </w:rPr>
        <w:t>评标记录查看</w:t>
      </w:r>
      <w:bookmarkEnd w:id="16"/>
      <w:bookmarkEnd w:id="17"/>
    </w:p>
    <w:p>
      <w:pPr>
        <w:ind w:firstLineChars="0"/>
        <w:rPr>
          <w:szCs w:val="21"/>
        </w:rPr>
      </w:pPr>
      <w:r>
        <w:rPr>
          <w:rFonts w:hint="eastAsia"/>
          <w:szCs w:val="21"/>
        </w:rPr>
        <w:t>评委点击首页“评标记录”快捷菜单，进入业绩查看页面，此页面显示专家评标相关记录，含项目编号、项目名称、建设单位、评标时间、评标地点，如下图所示：</w:t>
      </w:r>
    </w:p>
    <w:p>
      <w:pPr>
        <w:widowControl/>
        <w:ind w:firstLine="0" w:firstLineChars="0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293995" cy="1629410"/>
            <wp:effectExtent l="0" t="0" r="1905" b="8890"/>
            <wp:docPr id="2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  <w:rPr>
          <w:szCs w:val="21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 </w:t>
      </w:r>
      <w:r>
        <w:rPr>
          <w:rFonts w:hint="eastAsia"/>
          <w:szCs w:val="21"/>
        </w:rPr>
        <w:t xml:space="preserve">  点击项目名称后“评价情况”查看按钮，可查看该项目考核评价情况，如多评价分数有异议可通过页面左上角“专家申诉”按钮进行申诉（</w:t>
      </w:r>
      <w:r>
        <w:rPr>
          <w:rFonts w:hint="eastAsia"/>
          <w:color w:val="FF0000"/>
          <w:szCs w:val="21"/>
        </w:rPr>
        <w:t>住建行业可申诉，水利、交通行业无法申诉</w:t>
      </w:r>
      <w:r>
        <w:rPr>
          <w:rFonts w:hint="eastAsia"/>
          <w:szCs w:val="21"/>
        </w:rPr>
        <w:t>），如下图所示：</w:t>
      </w:r>
    </w:p>
    <w:p>
      <w:pPr>
        <w:widowControl/>
        <w:ind w:firstLine="0" w:firstLineChars="0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233035" cy="2277110"/>
            <wp:effectExtent l="0" t="0" r="5715" b="8890"/>
            <wp:docPr id="2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  <w:rPr>
          <w:rFonts w:ascii="宋体" w:hAnsi="宋体" w:cs="宋体"/>
          <w:kern w:val="0"/>
          <w:sz w:val="24"/>
          <w:lang w:bidi="ar"/>
        </w:rPr>
      </w:pPr>
    </w:p>
    <w:p>
      <w:pPr>
        <w:widowControl/>
        <w:ind w:firstLine="0" w:firstLineChars="0"/>
        <w:rPr>
          <w:rFonts w:ascii="宋体" w:hAnsi="宋体" w:cs="宋体"/>
          <w:kern w:val="0"/>
          <w:sz w:val="24"/>
          <w:lang w:bidi="ar"/>
        </w:rPr>
      </w:pPr>
    </w:p>
    <w:p>
      <w:pPr>
        <w:pStyle w:val="4"/>
        <w:tabs>
          <w:tab w:val="left" w:pos="1069"/>
          <w:tab w:val="clear" w:pos="567"/>
        </w:tabs>
      </w:pPr>
      <w:bookmarkStart w:id="18" w:name="_Toc22274"/>
      <w:r>
        <w:rPr>
          <w:rFonts w:hint="eastAsia"/>
        </w:rPr>
        <w:t>抽取统计查看</w:t>
      </w:r>
      <w:bookmarkEnd w:id="18"/>
    </w:p>
    <w:p>
      <w:pPr>
        <w:ind w:firstLineChars="0"/>
        <w:rPr>
          <w:szCs w:val="21"/>
        </w:rPr>
      </w:pPr>
      <w:r>
        <w:rPr>
          <w:rFonts w:hint="eastAsia"/>
          <w:szCs w:val="21"/>
        </w:rPr>
        <w:t>评委点击首页“抽取统计”快捷菜单，在弹出页面中可查看近6个月内专家本人的抽取统计信息（</w:t>
      </w:r>
      <w:r>
        <w:rPr>
          <w:rFonts w:hint="eastAsia"/>
          <w:color w:val="FF0000"/>
          <w:szCs w:val="21"/>
        </w:rPr>
        <w:t>住建类专家无法此功能</w:t>
      </w:r>
      <w:r>
        <w:rPr>
          <w:rFonts w:hint="eastAsia"/>
          <w:szCs w:val="21"/>
        </w:rPr>
        <w:t>），如下图所示：</w:t>
      </w:r>
    </w:p>
    <w:p>
      <w:pPr>
        <w:widowControl/>
        <w:ind w:firstLine="0" w:firstLineChars="0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465445" cy="901065"/>
            <wp:effectExtent l="0" t="0" r="1905" b="13335"/>
            <wp:docPr id="44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9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1069"/>
          <w:tab w:val="clear" w:pos="567"/>
        </w:tabs>
      </w:pPr>
      <w:bookmarkStart w:id="19" w:name="_Toc26710"/>
      <w:r>
        <w:rPr>
          <w:rFonts w:hint="eastAsia"/>
        </w:rPr>
        <w:t>专家出库</w:t>
      </w:r>
      <w:bookmarkEnd w:id="19"/>
    </w:p>
    <w:p>
      <w:pPr>
        <w:ind w:firstLineChars="0"/>
        <w:rPr>
          <w:szCs w:val="21"/>
        </w:rPr>
      </w:pPr>
      <w:r>
        <w:rPr>
          <w:rFonts w:hint="eastAsia"/>
          <w:szCs w:val="21"/>
        </w:rPr>
        <w:t>评委点击首页“专家出库”快捷菜单，在弹出页面中点击左上角“专家出库”按钮，点击确认出库后，专家信息出库成功。（</w:t>
      </w:r>
      <w:r>
        <w:rPr>
          <w:rFonts w:hint="eastAsia"/>
          <w:color w:val="FF0000"/>
          <w:szCs w:val="21"/>
        </w:rPr>
        <w:t>专家出库成功后，将无法登录系统，专家抽取通知将无法抽取到此专家，住建类专家无法此功能</w:t>
      </w:r>
      <w:r>
        <w:rPr>
          <w:rFonts w:hint="eastAsia"/>
          <w:szCs w:val="21"/>
        </w:rPr>
        <w:t>），如下图所示：</w:t>
      </w:r>
    </w:p>
    <w:p>
      <w:pPr>
        <w:widowControl/>
        <w:ind w:firstLine="0" w:firstLineChars="0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488305" cy="858520"/>
            <wp:effectExtent l="0" t="0" r="17145" b="17780"/>
            <wp:docPr id="46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0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1069"/>
          <w:tab w:val="clear" w:pos="567"/>
        </w:tabs>
      </w:pPr>
      <w:bookmarkStart w:id="20" w:name="_Toc20879"/>
      <w:bookmarkStart w:id="21" w:name="_Toc32717"/>
      <w:r>
        <w:rPr>
          <w:rFonts w:hint="eastAsia"/>
        </w:rPr>
        <w:t>密码修改</w:t>
      </w:r>
      <w:bookmarkEnd w:id="20"/>
      <w:bookmarkEnd w:id="21"/>
    </w:p>
    <w:p>
      <w:pPr>
        <w:ind w:firstLineChars="0"/>
        <w:rPr>
          <w:szCs w:val="21"/>
        </w:rPr>
      </w:pPr>
      <w:r>
        <w:rPr>
          <w:rFonts w:hint="eastAsia"/>
          <w:szCs w:val="21"/>
        </w:rPr>
        <w:t>评委点击首页“密码修改”快捷菜单，在弹出页面中输入原密码，新密码后，点击左上角修改密码按钮，即可修改成功，如下图所示：</w:t>
      </w:r>
    </w:p>
    <w:p>
      <w:pPr>
        <w:widowControl/>
        <w:ind w:firstLine="0" w:firstLineChars="0"/>
      </w:pPr>
      <w:r>
        <w:drawing>
          <wp:inline distT="0" distB="0" distL="114300" distR="114300">
            <wp:extent cx="5276850" cy="3065780"/>
            <wp:effectExtent l="0" t="0" r="0" b="127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6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1069"/>
          <w:tab w:val="clear" w:pos="567"/>
        </w:tabs>
      </w:pPr>
      <w:bookmarkStart w:id="22" w:name="_Toc16967"/>
      <w:bookmarkStart w:id="23" w:name="_Toc23035"/>
      <w:r>
        <w:rPr>
          <w:rFonts w:hint="eastAsia"/>
        </w:rPr>
        <w:t>政策法规</w:t>
      </w:r>
      <w:bookmarkEnd w:id="22"/>
      <w:bookmarkEnd w:id="23"/>
    </w:p>
    <w:p>
      <w:pPr>
        <w:ind w:firstLineChars="0"/>
        <w:rPr>
          <w:szCs w:val="21"/>
        </w:rPr>
      </w:pPr>
      <w:r>
        <w:rPr>
          <w:rFonts w:hint="eastAsia"/>
          <w:szCs w:val="21"/>
        </w:rPr>
        <w:t>评委点击首页“政策法规”快捷菜单，在弹出页面中点击需要查看的内容，可下载对应文件进行查看，如下图所示：</w:t>
      </w:r>
    </w:p>
    <w:p>
      <w:pPr>
        <w:widowControl/>
        <w:ind w:firstLine="0" w:firstLineChars="0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392420" cy="1247140"/>
            <wp:effectExtent l="0" t="0" r="17780" b="10160"/>
            <wp:docPr id="25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1069"/>
          <w:tab w:val="clear" w:pos="567"/>
        </w:tabs>
      </w:pPr>
      <w:bookmarkStart w:id="24" w:name="_Toc23160"/>
      <w:bookmarkStart w:id="25" w:name="_Toc24931"/>
      <w:r>
        <w:rPr>
          <w:rFonts w:hint="eastAsia"/>
        </w:rPr>
        <w:t>在线练习</w:t>
      </w:r>
      <w:bookmarkEnd w:id="24"/>
      <w:bookmarkEnd w:id="25"/>
    </w:p>
    <w:p>
      <w:pPr>
        <w:ind w:firstLineChars="0"/>
        <w:rPr>
          <w:szCs w:val="21"/>
        </w:rPr>
      </w:pPr>
      <w:r>
        <w:rPr>
          <w:rFonts w:hint="eastAsia"/>
          <w:szCs w:val="21"/>
        </w:rPr>
        <w:t>评委点击首页“在线练习”快捷菜单，在弹出页面中点击参加练习按钮，如下图所示：</w:t>
      </w:r>
    </w:p>
    <w:p>
      <w:pPr>
        <w:widowControl/>
        <w:ind w:firstLine="0" w:firstLineChars="0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292725" cy="832485"/>
            <wp:effectExtent l="0" t="0" r="3175" b="5715"/>
            <wp:docPr id="27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  <w:rPr>
          <w:rFonts w:ascii="宋体" w:hAnsi="宋体" w:cs="宋体"/>
          <w:kern w:val="0"/>
          <w:sz w:val="24"/>
          <w:lang w:bidi="ar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     </w:t>
      </w:r>
    </w:p>
    <w:p>
      <w:pPr>
        <w:widowControl/>
      </w:pPr>
      <w:r>
        <w:rPr>
          <w:rFonts w:hint="eastAsia"/>
        </w:rPr>
        <w:t>点击“参加练习按钮”，进入练习页面，如下图所示：</w:t>
      </w:r>
    </w:p>
    <w:p>
      <w:pPr>
        <w:widowControl/>
        <w:ind w:firstLine="0" w:firstLineChars="0"/>
      </w:pPr>
      <w:r>
        <w:drawing>
          <wp:inline distT="0" distB="0" distL="114300" distR="114300">
            <wp:extent cx="5276850" cy="1442720"/>
            <wp:effectExtent l="0" t="0" r="0" b="5080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</w:pPr>
      <w:r>
        <w:rPr>
          <w:rFonts w:hint="eastAsia"/>
        </w:rPr>
        <w:t xml:space="preserve">   按照要求进行答题，完成后点击“完成提交按钮”，需下图所示： </w:t>
      </w:r>
    </w:p>
    <w:p>
      <w:pPr>
        <w:widowControl/>
        <w:ind w:firstLine="0" w:firstLineChars="0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339080" cy="1278890"/>
            <wp:effectExtent l="0" t="0" r="13970" b="16510"/>
            <wp:docPr id="35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27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1069"/>
          <w:tab w:val="clear" w:pos="567"/>
        </w:tabs>
      </w:pPr>
      <w:bookmarkStart w:id="26" w:name="_Toc32763"/>
      <w:bookmarkStart w:id="27" w:name="_Toc25174"/>
      <w:r>
        <w:rPr>
          <w:rFonts w:hint="eastAsia"/>
        </w:rPr>
        <w:t>练习查询</w:t>
      </w:r>
      <w:bookmarkEnd w:id="26"/>
      <w:bookmarkEnd w:id="27"/>
    </w:p>
    <w:p>
      <w:pPr>
        <w:ind w:firstLineChars="0"/>
        <w:rPr>
          <w:szCs w:val="21"/>
        </w:rPr>
      </w:pPr>
      <w:r>
        <w:rPr>
          <w:rFonts w:hint="eastAsia"/>
          <w:szCs w:val="21"/>
        </w:rPr>
        <w:t>评委点击首页“练习查询”快捷菜单，在弹出页面中点击练习结果按钮，可查看本次练习的成绩，如下图所示：</w:t>
      </w:r>
    </w:p>
    <w:p>
      <w:pPr>
        <w:widowControl/>
        <w:ind w:firstLine="0" w:firstLineChars="0"/>
      </w:pPr>
      <w:r>
        <w:drawing>
          <wp:inline distT="0" distB="0" distL="114300" distR="114300">
            <wp:extent cx="5265420" cy="695960"/>
            <wp:effectExtent l="0" t="0" r="11430" b="8890"/>
            <wp:docPr id="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347970" cy="1003300"/>
            <wp:effectExtent l="0" t="0" r="5080" b="6350"/>
            <wp:docPr id="40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6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</w:pPr>
    </w:p>
    <w:p>
      <w:pPr>
        <w:pStyle w:val="4"/>
        <w:tabs>
          <w:tab w:val="left" w:pos="1069"/>
          <w:tab w:val="clear" w:pos="567"/>
        </w:tabs>
      </w:pPr>
      <w:bookmarkStart w:id="28" w:name="_Toc24164"/>
      <w:bookmarkStart w:id="29" w:name="_Toc28269"/>
      <w:bookmarkStart w:id="30" w:name="_Toc17434"/>
      <w:bookmarkStart w:id="31" w:name="_Toc32719"/>
      <w:bookmarkStart w:id="32" w:name="_Toc16539"/>
      <w:r>
        <w:rPr>
          <w:rFonts w:hint="eastAsia"/>
        </w:rPr>
        <w:t>在线视频学习</w:t>
      </w:r>
      <w:bookmarkEnd w:id="28"/>
      <w:bookmarkEnd w:id="29"/>
    </w:p>
    <w:p>
      <w:pPr>
        <w:rPr>
          <w:szCs w:val="21"/>
        </w:rPr>
      </w:pPr>
      <w:r>
        <w:rPr>
          <w:rFonts w:hint="eastAsia"/>
          <w:szCs w:val="21"/>
        </w:rPr>
        <w:t>评委点击首页“在线视频学习”快捷菜单，在弹出页面中点击需要学习的视频进行学习，如下图所示：</w:t>
      </w:r>
    </w:p>
    <w:p>
      <w:pPr>
        <w:widowControl/>
        <w:ind w:firstLine="0" w:firstLineChars="0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327650" cy="2495550"/>
            <wp:effectExtent l="0" t="0" r="6350" b="0"/>
            <wp:docPr id="41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7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</w:pPr>
    </w:p>
    <w:bookmarkEnd w:id="8"/>
    <w:bookmarkEnd w:id="30"/>
    <w:bookmarkEnd w:id="31"/>
    <w:bookmarkEnd w:id="32"/>
    <w:p>
      <w:pPr>
        <w:widowControl/>
        <w:ind w:firstLine="0" w:firstLineChars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1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A5A5A5" w:themeColor="accent3" w:sz="24" w:space="5"/>
      </w:pBdr>
      <w:wordWrap w:val="0"/>
      <w:spacing w:line="240" w:lineRule="auto"/>
      <w:ind w:firstLine="360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—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ind w:firstLine="360"/>
                    </w:pPr>
                    <w:r>
                      <w:rPr>
                        <w:rFonts w:hint="eastAsia"/>
                      </w:rPr>
                      <w:t xml:space="preserve">—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lang w:val="zh-CN"/>
        </w:rPr>
        <w:alias w:val="公司"/>
        <w:id w:val="266973599"/>
        <w:showingPlcHdr/>
        <w:text/>
      </w:sdtPr>
      <w:sdtEndPr>
        <w:rPr>
          <w:lang w:val="zh-CN"/>
        </w:rPr>
      </w:sdtEndPr>
      <w:sdtContent/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—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ind w:firstLine="360"/>
                    </w:pPr>
                    <w:r>
                      <w:rPr>
                        <w:rFonts w:hint="eastAsia"/>
                      </w:rPr>
                      <w:t xml:space="preserve">—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  <w:jc w:val="left"/>
    </w:pPr>
    <w:r>
      <w:rPr>
        <w:rFonts w:hint="eastAsia"/>
      </w:rPr>
      <w:t>专家信息管理子系统-评标专家操作手册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3D69C1"/>
    <w:multiLevelType w:val="multilevel"/>
    <w:tmpl w:val="3E3D69C1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567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attachedTemplate r:id="rId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D1205D"/>
    <w:rsid w:val="00006E0E"/>
    <w:rsid w:val="00007F0D"/>
    <w:rsid w:val="000141BE"/>
    <w:rsid w:val="000154AE"/>
    <w:rsid w:val="00015FEF"/>
    <w:rsid w:val="00016494"/>
    <w:rsid w:val="00027A0F"/>
    <w:rsid w:val="00027D74"/>
    <w:rsid w:val="000355F5"/>
    <w:rsid w:val="00042A7D"/>
    <w:rsid w:val="00050FA4"/>
    <w:rsid w:val="00071771"/>
    <w:rsid w:val="000758CC"/>
    <w:rsid w:val="00075A90"/>
    <w:rsid w:val="00077C3F"/>
    <w:rsid w:val="00083127"/>
    <w:rsid w:val="00090821"/>
    <w:rsid w:val="000B010D"/>
    <w:rsid w:val="000B02D5"/>
    <w:rsid w:val="000B5978"/>
    <w:rsid w:val="000D3BA4"/>
    <w:rsid w:val="000D6AF4"/>
    <w:rsid w:val="000F4C07"/>
    <w:rsid w:val="0010292A"/>
    <w:rsid w:val="00106E66"/>
    <w:rsid w:val="00107D10"/>
    <w:rsid w:val="00125FED"/>
    <w:rsid w:val="0012709B"/>
    <w:rsid w:val="00136FC5"/>
    <w:rsid w:val="00152E3B"/>
    <w:rsid w:val="00164727"/>
    <w:rsid w:val="001747FE"/>
    <w:rsid w:val="00182C60"/>
    <w:rsid w:val="001944BA"/>
    <w:rsid w:val="001A4E38"/>
    <w:rsid w:val="001B144A"/>
    <w:rsid w:val="001C3BB7"/>
    <w:rsid w:val="001C5655"/>
    <w:rsid w:val="001D17FA"/>
    <w:rsid w:val="001E2E11"/>
    <w:rsid w:val="001F515C"/>
    <w:rsid w:val="00204309"/>
    <w:rsid w:val="0021546C"/>
    <w:rsid w:val="00234BC0"/>
    <w:rsid w:val="00240D6B"/>
    <w:rsid w:val="002439DF"/>
    <w:rsid w:val="00246058"/>
    <w:rsid w:val="00253397"/>
    <w:rsid w:val="002929AB"/>
    <w:rsid w:val="002A71AD"/>
    <w:rsid w:val="002C0D73"/>
    <w:rsid w:val="002E0924"/>
    <w:rsid w:val="002E463D"/>
    <w:rsid w:val="00300148"/>
    <w:rsid w:val="003025FC"/>
    <w:rsid w:val="00304571"/>
    <w:rsid w:val="00327287"/>
    <w:rsid w:val="00331D47"/>
    <w:rsid w:val="003461E4"/>
    <w:rsid w:val="00350D86"/>
    <w:rsid w:val="0035364D"/>
    <w:rsid w:val="00366DDE"/>
    <w:rsid w:val="00371D90"/>
    <w:rsid w:val="00384CE6"/>
    <w:rsid w:val="00391F64"/>
    <w:rsid w:val="00392356"/>
    <w:rsid w:val="003934B7"/>
    <w:rsid w:val="00397520"/>
    <w:rsid w:val="003B17E2"/>
    <w:rsid w:val="003C31D3"/>
    <w:rsid w:val="003C4638"/>
    <w:rsid w:val="003D5A26"/>
    <w:rsid w:val="003E1FCD"/>
    <w:rsid w:val="003E6DD5"/>
    <w:rsid w:val="00427F9A"/>
    <w:rsid w:val="0044232D"/>
    <w:rsid w:val="004464D5"/>
    <w:rsid w:val="00451156"/>
    <w:rsid w:val="004518EE"/>
    <w:rsid w:val="00452405"/>
    <w:rsid w:val="0045398E"/>
    <w:rsid w:val="00471642"/>
    <w:rsid w:val="00472282"/>
    <w:rsid w:val="00473CCB"/>
    <w:rsid w:val="00483A7E"/>
    <w:rsid w:val="004A0370"/>
    <w:rsid w:val="004B7769"/>
    <w:rsid w:val="004D2ECF"/>
    <w:rsid w:val="004E0C6E"/>
    <w:rsid w:val="004F4325"/>
    <w:rsid w:val="005014F9"/>
    <w:rsid w:val="00514694"/>
    <w:rsid w:val="00515547"/>
    <w:rsid w:val="00515EEB"/>
    <w:rsid w:val="005234A1"/>
    <w:rsid w:val="0053000C"/>
    <w:rsid w:val="00565BDE"/>
    <w:rsid w:val="0057011E"/>
    <w:rsid w:val="005B1917"/>
    <w:rsid w:val="005B1952"/>
    <w:rsid w:val="005B34F8"/>
    <w:rsid w:val="005B40CE"/>
    <w:rsid w:val="005E447F"/>
    <w:rsid w:val="005E5142"/>
    <w:rsid w:val="00604581"/>
    <w:rsid w:val="0061258C"/>
    <w:rsid w:val="00624A99"/>
    <w:rsid w:val="00631314"/>
    <w:rsid w:val="00643455"/>
    <w:rsid w:val="0066466C"/>
    <w:rsid w:val="00680EB7"/>
    <w:rsid w:val="00692127"/>
    <w:rsid w:val="006B0E98"/>
    <w:rsid w:val="006D50CF"/>
    <w:rsid w:val="006E277C"/>
    <w:rsid w:val="006F602C"/>
    <w:rsid w:val="00701646"/>
    <w:rsid w:val="0070571E"/>
    <w:rsid w:val="007104C5"/>
    <w:rsid w:val="00726D4A"/>
    <w:rsid w:val="007376E5"/>
    <w:rsid w:val="00750134"/>
    <w:rsid w:val="00763DC4"/>
    <w:rsid w:val="007A0BC4"/>
    <w:rsid w:val="007A7311"/>
    <w:rsid w:val="007B385E"/>
    <w:rsid w:val="008049B5"/>
    <w:rsid w:val="008107E0"/>
    <w:rsid w:val="00822F39"/>
    <w:rsid w:val="008253AB"/>
    <w:rsid w:val="00837F88"/>
    <w:rsid w:val="00842053"/>
    <w:rsid w:val="00846583"/>
    <w:rsid w:val="008635AF"/>
    <w:rsid w:val="00863851"/>
    <w:rsid w:val="008771A7"/>
    <w:rsid w:val="00885BB6"/>
    <w:rsid w:val="00887C54"/>
    <w:rsid w:val="008972EF"/>
    <w:rsid w:val="008A440E"/>
    <w:rsid w:val="008B5B7A"/>
    <w:rsid w:val="008C741F"/>
    <w:rsid w:val="008D1C23"/>
    <w:rsid w:val="008E38DE"/>
    <w:rsid w:val="008F1CCB"/>
    <w:rsid w:val="009036A8"/>
    <w:rsid w:val="00922E0A"/>
    <w:rsid w:val="00931828"/>
    <w:rsid w:val="00940A29"/>
    <w:rsid w:val="00946F54"/>
    <w:rsid w:val="00962A88"/>
    <w:rsid w:val="00963BED"/>
    <w:rsid w:val="00971962"/>
    <w:rsid w:val="009720A5"/>
    <w:rsid w:val="00974924"/>
    <w:rsid w:val="009954B7"/>
    <w:rsid w:val="00995502"/>
    <w:rsid w:val="009B0BB1"/>
    <w:rsid w:val="009C711C"/>
    <w:rsid w:val="009D1881"/>
    <w:rsid w:val="009D188E"/>
    <w:rsid w:val="009F3BD6"/>
    <w:rsid w:val="00A05389"/>
    <w:rsid w:val="00A17EA8"/>
    <w:rsid w:val="00A17F10"/>
    <w:rsid w:val="00A35CD4"/>
    <w:rsid w:val="00A36588"/>
    <w:rsid w:val="00A36F4A"/>
    <w:rsid w:val="00A41139"/>
    <w:rsid w:val="00A514E4"/>
    <w:rsid w:val="00A62BDC"/>
    <w:rsid w:val="00A636EC"/>
    <w:rsid w:val="00A67055"/>
    <w:rsid w:val="00A7332B"/>
    <w:rsid w:val="00A76C44"/>
    <w:rsid w:val="00A83EE2"/>
    <w:rsid w:val="00A938E0"/>
    <w:rsid w:val="00AB6E2E"/>
    <w:rsid w:val="00AE619E"/>
    <w:rsid w:val="00AF18BB"/>
    <w:rsid w:val="00B109AF"/>
    <w:rsid w:val="00B16CC7"/>
    <w:rsid w:val="00B25373"/>
    <w:rsid w:val="00B3070A"/>
    <w:rsid w:val="00B4472A"/>
    <w:rsid w:val="00B5170B"/>
    <w:rsid w:val="00B543C0"/>
    <w:rsid w:val="00B66478"/>
    <w:rsid w:val="00B67F4D"/>
    <w:rsid w:val="00B75928"/>
    <w:rsid w:val="00B84A61"/>
    <w:rsid w:val="00BB552C"/>
    <w:rsid w:val="00BC2E82"/>
    <w:rsid w:val="00BD037F"/>
    <w:rsid w:val="00BF3927"/>
    <w:rsid w:val="00C024DD"/>
    <w:rsid w:val="00C11DFE"/>
    <w:rsid w:val="00C11ED9"/>
    <w:rsid w:val="00C21BAA"/>
    <w:rsid w:val="00C3267C"/>
    <w:rsid w:val="00C4583D"/>
    <w:rsid w:val="00C53E2F"/>
    <w:rsid w:val="00C55F0C"/>
    <w:rsid w:val="00C73451"/>
    <w:rsid w:val="00C854D4"/>
    <w:rsid w:val="00C95D51"/>
    <w:rsid w:val="00C96561"/>
    <w:rsid w:val="00CB4815"/>
    <w:rsid w:val="00CC7056"/>
    <w:rsid w:val="00CE093C"/>
    <w:rsid w:val="00CE7576"/>
    <w:rsid w:val="00CE7989"/>
    <w:rsid w:val="00CF5184"/>
    <w:rsid w:val="00CF72DC"/>
    <w:rsid w:val="00D04250"/>
    <w:rsid w:val="00D04998"/>
    <w:rsid w:val="00D07453"/>
    <w:rsid w:val="00D123DE"/>
    <w:rsid w:val="00D341C5"/>
    <w:rsid w:val="00D66276"/>
    <w:rsid w:val="00D811C4"/>
    <w:rsid w:val="00D87714"/>
    <w:rsid w:val="00D9321E"/>
    <w:rsid w:val="00DA34E8"/>
    <w:rsid w:val="00DA77EF"/>
    <w:rsid w:val="00DB447D"/>
    <w:rsid w:val="00DB5229"/>
    <w:rsid w:val="00DB720A"/>
    <w:rsid w:val="00DC1EDD"/>
    <w:rsid w:val="00DD0207"/>
    <w:rsid w:val="00DD3068"/>
    <w:rsid w:val="00DE7975"/>
    <w:rsid w:val="00E0320F"/>
    <w:rsid w:val="00E05E72"/>
    <w:rsid w:val="00E066FB"/>
    <w:rsid w:val="00E10643"/>
    <w:rsid w:val="00E14BA5"/>
    <w:rsid w:val="00E44A77"/>
    <w:rsid w:val="00E450DF"/>
    <w:rsid w:val="00E51A62"/>
    <w:rsid w:val="00E60D81"/>
    <w:rsid w:val="00E87CEE"/>
    <w:rsid w:val="00E90AC1"/>
    <w:rsid w:val="00E91810"/>
    <w:rsid w:val="00E945EA"/>
    <w:rsid w:val="00EB6FF6"/>
    <w:rsid w:val="00EC2F2B"/>
    <w:rsid w:val="00ED0FB2"/>
    <w:rsid w:val="00ED327A"/>
    <w:rsid w:val="00F02A55"/>
    <w:rsid w:val="00F15C47"/>
    <w:rsid w:val="00F16816"/>
    <w:rsid w:val="00F355CB"/>
    <w:rsid w:val="00F432C6"/>
    <w:rsid w:val="00F554FD"/>
    <w:rsid w:val="00F558A3"/>
    <w:rsid w:val="00F56D7A"/>
    <w:rsid w:val="00F67520"/>
    <w:rsid w:val="00F70DD4"/>
    <w:rsid w:val="00F74B2E"/>
    <w:rsid w:val="00F93738"/>
    <w:rsid w:val="00FA2EB2"/>
    <w:rsid w:val="00FB3C07"/>
    <w:rsid w:val="00FB5B95"/>
    <w:rsid w:val="00FC0756"/>
    <w:rsid w:val="00FC0E5D"/>
    <w:rsid w:val="00FC21C4"/>
    <w:rsid w:val="00FE2C56"/>
    <w:rsid w:val="01165A03"/>
    <w:rsid w:val="02C020E1"/>
    <w:rsid w:val="02ED7AAA"/>
    <w:rsid w:val="02FF24AA"/>
    <w:rsid w:val="03602863"/>
    <w:rsid w:val="036E3F7A"/>
    <w:rsid w:val="03714A86"/>
    <w:rsid w:val="04305411"/>
    <w:rsid w:val="04323DF9"/>
    <w:rsid w:val="04A2051B"/>
    <w:rsid w:val="04B95306"/>
    <w:rsid w:val="067C29BF"/>
    <w:rsid w:val="07085D5A"/>
    <w:rsid w:val="07F23292"/>
    <w:rsid w:val="08C86B6A"/>
    <w:rsid w:val="0A5852A7"/>
    <w:rsid w:val="0A83270D"/>
    <w:rsid w:val="0AA2009E"/>
    <w:rsid w:val="0AD80FA5"/>
    <w:rsid w:val="0AFD11E4"/>
    <w:rsid w:val="0B34492E"/>
    <w:rsid w:val="0B734C29"/>
    <w:rsid w:val="0BC10270"/>
    <w:rsid w:val="0BCD5730"/>
    <w:rsid w:val="0BE06F0D"/>
    <w:rsid w:val="0BF57004"/>
    <w:rsid w:val="0C0F5984"/>
    <w:rsid w:val="0C804DFB"/>
    <w:rsid w:val="0D83672B"/>
    <w:rsid w:val="0E2936A4"/>
    <w:rsid w:val="0EA46D0F"/>
    <w:rsid w:val="0F3F3B56"/>
    <w:rsid w:val="0F454F49"/>
    <w:rsid w:val="0F8919FD"/>
    <w:rsid w:val="0FB27821"/>
    <w:rsid w:val="100D5329"/>
    <w:rsid w:val="11544399"/>
    <w:rsid w:val="1184712C"/>
    <w:rsid w:val="124E5454"/>
    <w:rsid w:val="12EF5978"/>
    <w:rsid w:val="13147201"/>
    <w:rsid w:val="13B91F65"/>
    <w:rsid w:val="158C34D4"/>
    <w:rsid w:val="17597237"/>
    <w:rsid w:val="17AA30DC"/>
    <w:rsid w:val="180E4319"/>
    <w:rsid w:val="18F05EC0"/>
    <w:rsid w:val="191A6204"/>
    <w:rsid w:val="194B6E3A"/>
    <w:rsid w:val="19FC50A2"/>
    <w:rsid w:val="1A4C7DEB"/>
    <w:rsid w:val="1AE37E3A"/>
    <w:rsid w:val="1B056208"/>
    <w:rsid w:val="1B5423B2"/>
    <w:rsid w:val="1B596F87"/>
    <w:rsid w:val="1BDA21D0"/>
    <w:rsid w:val="1D715098"/>
    <w:rsid w:val="1DCA323A"/>
    <w:rsid w:val="21741767"/>
    <w:rsid w:val="218B5375"/>
    <w:rsid w:val="21D1205D"/>
    <w:rsid w:val="21DB62ED"/>
    <w:rsid w:val="21F35A7A"/>
    <w:rsid w:val="22103F9A"/>
    <w:rsid w:val="22635BCB"/>
    <w:rsid w:val="22C07244"/>
    <w:rsid w:val="233651C6"/>
    <w:rsid w:val="2419625E"/>
    <w:rsid w:val="25A07DBD"/>
    <w:rsid w:val="26A44703"/>
    <w:rsid w:val="276B463F"/>
    <w:rsid w:val="288C0E08"/>
    <w:rsid w:val="299044BC"/>
    <w:rsid w:val="2A0368FB"/>
    <w:rsid w:val="2A6A4528"/>
    <w:rsid w:val="2B490F87"/>
    <w:rsid w:val="2B617D93"/>
    <w:rsid w:val="2BD441D2"/>
    <w:rsid w:val="2C040097"/>
    <w:rsid w:val="2C655DF1"/>
    <w:rsid w:val="2C82460F"/>
    <w:rsid w:val="2D380302"/>
    <w:rsid w:val="2D6A7CD4"/>
    <w:rsid w:val="2E42055B"/>
    <w:rsid w:val="2E5879D1"/>
    <w:rsid w:val="2E646592"/>
    <w:rsid w:val="2E7243B2"/>
    <w:rsid w:val="2E89519C"/>
    <w:rsid w:val="2EAE13CD"/>
    <w:rsid w:val="307359C1"/>
    <w:rsid w:val="30D7608F"/>
    <w:rsid w:val="31276146"/>
    <w:rsid w:val="32415F67"/>
    <w:rsid w:val="324A1B91"/>
    <w:rsid w:val="32C97F44"/>
    <w:rsid w:val="330C3D25"/>
    <w:rsid w:val="33246515"/>
    <w:rsid w:val="33361448"/>
    <w:rsid w:val="337060B6"/>
    <w:rsid w:val="34E31424"/>
    <w:rsid w:val="350470D6"/>
    <w:rsid w:val="35CC0128"/>
    <w:rsid w:val="368F1965"/>
    <w:rsid w:val="38617C61"/>
    <w:rsid w:val="391E4DF1"/>
    <w:rsid w:val="3B246E57"/>
    <w:rsid w:val="3B7F6C1B"/>
    <w:rsid w:val="3C2D0BE3"/>
    <w:rsid w:val="3C341962"/>
    <w:rsid w:val="3D3151B4"/>
    <w:rsid w:val="3DD75CAD"/>
    <w:rsid w:val="3E3845DE"/>
    <w:rsid w:val="3E9E49F2"/>
    <w:rsid w:val="3EFA45E3"/>
    <w:rsid w:val="3EFF04B5"/>
    <w:rsid w:val="40392536"/>
    <w:rsid w:val="407761E4"/>
    <w:rsid w:val="413D398E"/>
    <w:rsid w:val="418F6842"/>
    <w:rsid w:val="41AE22AB"/>
    <w:rsid w:val="42477FCD"/>
    <w:rsid w:val="42792D11"/>
    <w:rsid w:val="42CE4C5B"/>
    <w:rsid w:val="439A4A17"/>
    <w:rsid w:val="43AB012F"/>
    <w:rsid w:val="43B4520F"/>
    <w:rsid w:val="44C56776"/>
    <w:rsid w:val="45E21D4F"/>
    <w:rsid w:val="45FE0CA7"/>
    <w:rsid w:val="485C7C1C"/>
    <w:rsid w:val="499F1A98"/>
    <w:rsid w:val="4A8C63B0"/>
    <w:rsid w:val="4AC15E64"/>
    <w:rsid w:val="4B6B5BB5"/>
    <w:rsid w:val="4B82098D"/>
    <w:rsid w:val="4B90456A"/>
    <w:rsid w:val="4BF27E93"/>
    <w:rsid w:val="4C0008D6"/>
    <w:rsid w:val="4D365BFB"/>
    <w:rsid w:val="4D5C2262"/>
    <w:rsid w:val="4E2B7CCB"/>
    <w:rsid w:val="4E64046A"/>
    <w:rsid w:val="4E7F0435"/>
    <w:rsid w:val="4F057D04"/>
    <w:rsid w:val="4FB84456"/>
    <w:rsid w:val="50327D77"/>
    <w:rsid w:val="50F5571F"/>
    <w:rsid w:val="51057614"/>
    <w:rsid w:val="511176C9"/>
    <w:rsid w:val="51197426"/>
    <w:rsid w:val="514540B8"/>
    <w:rsid w:val="52702EB4"/>
    <w:rsid w:val="52C966D3"/>
    <w:rsid w:val="53A43212"/>
    <w:rsid w:val="53EF338D"/>
    <w:rsid w:val="549E5480"/>
    <w:rsid w:val="553136B3"/>
    <w:rsid w:val="5543106E"/>
    <w:rsid w:val="55541F70"/>
    <w:rsid w:val="55B800C4"/>
    <w:rsid w:val="575D6D7A"/>
    <w:rsid w:val="57997631"/>
    <w:rsid w:val="58252F57"/>
    <w:rsid w:val="5A3A4CBB"/>
    <w:rsid w:val="5B043F4A"/>
    <w:rsid w:val="5C4430F0"/>
    <w:rsid w:val="5C845101"/>
    <w:rsid w:val="5D2E3C62"/>
    <w:rsid w:val="5D754FD5"/>
    <w:rsid w:val="5DA3598C"/>
    <w:rsid w:val="5E23406A"/>
    <w:rsid w:val="5E4E2232"/>
    <w:rsid w:val="5EF03D16"/>
    <w:rsid w:val="5F751CEC"/>
    <w:rsid w:val="604D0C19"/>
    <w:rsid w:val="61150AF2"/>
    <w:rsid w:val="61BE46AA"/>
    <w:rsid w:val="61D97FC2"/>
    <w:rsid w:val="62896BC9"/>
    <w:rsid w:val="62D04818"/>
    <w:rsid w:val="63052295"/>
    <w:rsid w:val="64743F73"/>
    <w:rsid w:val="65374071"/>
    <w:rsid w:val="655561EE"/>
    <w:rsid w:val="658572A0"/>
    <w:rsid w:val="66853EA1"/>
    <w:rsid w:val="6715574B"/>
    <w:rsid w:val="6727360B"/>
    <w:rsid w:val="68174E01"/>
    <w:rsid w:val="68AF0C71"/>
    <w:rsid w:val="693151EF"/>
    <w:rsid w:val="696061BA"/>
    <w:rsid w:val="699B7839"/>
    <w:rsid w:val="6A1A5A56"/>
    <w:rsid w:val="6A2234D1"/>
    <w:rsid w:val="6A706177"/>
    <w:rsid w:val="6BBF090A"/>
    <w:rsid w:val="6D535020"/>
    <w:rsid w:val="6D982731"/>
    <w:rsid w:val="6DD421FA"/>
    <w:rsid w:val="6EDF060F"/>
    <w:rsid w:val="6F257B96"/>
    <w:rsid w:val="6F364311"/>
    <w:rsid w:val="6F39281A"/>
    <w:rsid w:val="6F474257"/>
    <w:rsid w:val="6FFA195F"/>
    <w:rsid w:val="706573E1"/>
    <w:rsid w:val="70AA3295"/>
    <w:rsid w:val="70EA0FBC"/>
    <w:rsid w:val="710E798A"/>
    <w:rsid w:val="713F7CD7"/>
    <w:rsid w:val="71EA7D39"/>
    <w:rsid w:val="72005E1C"/>
    <w:rsid w:val="735018B0"/>
    <w:rsid w:val="75690079"/>
    <w:rsid w:val="763A725F"/>
    <w:rsid w:val="76484B9C"/>
    <w:rsid w:val="768C1D0A"/>
    <w:rsid w:val="777C02A6"/>
    <w:rsid w:val="78FF1527"/>
    <w:rsid w:val="7A2B1E32"/>
    <w:rsid w:val="7C05606D"/>
    <w:rsid w:val="7C310D72"/>
    <w:rsid w:val="7C3234AB"/>
    <w:rsid w:val="7C4E5026"/>
    <w:rsid w:val="7D017262"/>
    <w:rsid w:val="7D954642"/>
    <w:rsid w:val="7E4B28F0"/>
    <w:rsid w:val="7ECE1EA3"/>
    <w:rsid w:val="7F1F4773"/>
    <w:rsid w:val="7FCC6B79"/>
    <w:rsid w:val="7FF6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1" Type="http://schemas.openxmlformats.org/officeDocument/2006/relationships/glossaryDocument" Target="glossary/document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e5e2cacf-8fe6-4313-930d-d1de7d390ec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5E2CACF-8FE6-4313-930D-D1DE7D390EC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34f6925-123b-4d01-a078-469d1dd9e1b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34F6925-123B-4D01-A078-469D1DD9E1B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2082f80-9925-4d30-a5a2-f594b75bc2f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2082F80-9925-4D30-A5A2-F594B75BC2F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7e164c1-cfc7-498c-9f23-cadcf9149d3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7E164C1-CFC7-498C-9F23-CADCF9149D3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e461bb9-f497-4afa-b3a2-50c9db2d9a1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E461BB9-F497-4AFA-B3A2-50C9DB2D9A1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f0ce9fc-b8e3-4117-a11d-ebffc66054c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F0CE9FC-B8E3-4117-A11D-EBFFC66054C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d478a21-7657-45f7-921d-c79ca106cea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D478A21-7657-45F7-921D-C79CA106CEA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c1c06ae-bd5b-49e5-af3b-6515f6232e4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C1C06AE-BD5B-49E5-AF3B-6515F6232E4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423c892-7520-486d-9664-4f8bc61c84f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423C892-7520-486D-9664-4F8BC61C84F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a19c91c-b7ea-48ed-b3c0-b08d30b5f89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A19C91C-B7EA-48ED-B3C0-B08D30B5F89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322dac7-dfc2-4ebe-88bb-11cc0d8bdfe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322DAC7-DFC2-4EBE-88BB-11CC0D8BDFE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8de04e0-b582-426e-b1c5-9ac59e60619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8DE04E0-B582-426E-B1C5-9AC59E60619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characterSpacingControl w:val="doNotCompress"/>
  <w:compat>
    <w:useFELayout/>
    <w:splitPgBreakAndParaMark/>
    <w:compatSetting w:name="compatibilityMode" w:uri="http://schemas.microsoft.com/office/word" w:val="14"/>
  </w:compat>
  <w:rsids>
    <w:rsidRoot w:val="00CD3CD8"/>
    <w:rsid w:val="00CD3382"/>
    <w:rsid w:val="00CD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Company>Microsoft</Company>
  <Pages>11</Pages>
  <Words>1844</Words>
  <Characters>1963</Characters>
  <Lines>17</Lines>
  <Paragraphs>5</Paragraphs>
  <TotalTime>0</TotalTime>
  <ScaleCrop>false</ScaleCrop>
  <LinksUpToDate>false</LinksUpToDate>
  <CharactersWithSpaces>2039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2022-03-21T01:12:00Z</dcterms:created>
  <dc:creator>﹎ωǒ们偠开鈊</dc:creator>
  <cp:lastModifiedBy>木曷</cp:lastModifiedBy>
  <dcterms:modified xsi:type="dcterms:W3CDTF">2022-07-07T05:31:40Z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BD5BA84BFA91424CA8FA7DF3E64183A7</vt:lpwstr>
  </property>
</Properties>
</file>